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</w:rPr>
      </w:pPr>
      <w:r>
        <w:rPr>
          <w:rFonts w:hint="eastAsia" w:ascii="宋体" w:hAnsi="宋体" w:eastAsia="宋体" w:cs="宋体"/>
          <w:b/>
          <w:bCs/>
          <w:sz w:val="44"/>
          <w:szCs w:val="52"/>
        </w:rPr>
        <w:t>武乡县人力资源和社会保障局2022年度行政检查计划</w:t>
      </w:r>
    </w:p>
    <w:tbl>
      <w:tblPr>
        <w:tblStyle w:val="3"/>
        <w:tblpPr w:leftFromText="180" w:rightFromText="180" w:vertAnchor="page" w:horzAnchor="page" w:tblpX="2047" w:tblpY="29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098"/>
        <w:gridCol w:w="2260"/>
        <w:gridCol w:w="1427"/>
        <w:gridCol w:w="1751"/>
        <w:gridCol w:w="1457"/>
        <w:gridCol w:w="1577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检查任务名称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检查对象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检查比例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及频次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对用人单位工资支付情况检查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各类用人单位（与劳动者建立劳动关系）工资支付情况检查：对建筑、加工、制造、居民服务等农民工集中的行业的工资支付情况的定期监控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各类用人单位（与劳动者建立劳动关系）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检查比例不低于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10%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；检查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次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1月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—12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月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武乡县人社局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武乡县市监局 武乡县住建局 武乡县水利局 武乡县交通局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对在建工程项目落实根治欠薪五项制度的专项检查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在建工程根治欠薪相关制度落实情况的检查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在建工程项目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全部在建项目；检查2次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武乡县人社局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武乡县住建局 武乡县水利局 武乡县交通局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36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E7D17"/>
    <w:rsid w:val="144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41"/>
    <w:basedOn w:val="4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2022-04-06T08:49:00Z</dcterms:created>
  <dc:creator>Administrator</dc:creator>
  <cp:lastModifiedBy>Administrator</cp:lastModifiedBy>
  <dcterms:modified xsi:type="dcterms:W3CDTF">2022-04-06T09:01:19Z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2FAC0F18E18A4DDA8DC33C39015AD1DC</vt:lpwstr>
  </property>
</Properties>
</file>