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B1A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CESI仿宋-GB2312" w:hAnsi="CESI仿宋-GB2312" w:eastAsia="CESI仿宋-GB2312" w:cs="CESI仿宋-GB2312"/>
          <w:sz w:val="32"/>
          <w:szCs w:val="32"/>
          <w:lang w:val="en-US" w:eastAsia="zh-CN"/>
        </w:rPr>
      </w:pPr>
      <w:bookmarkStart w:id="0" w:name="_GoBack"/>
      <w:bookmarkEnd w:id="0"/>
      <w:r>
        <w:rPr>
          <w:rFonts w:hint="default" w:ascii="CESI仿宋-GB2312" w:hAnsi="CESI仿宋-GB2312" w:eastAsia="CESI仿宋-GB2312" w:cs="CESI仿宋-GB2312"/>
          <w:sz w:val="32"/>
          <w:szCs w:val="32"/>
          <w:lang w:val="en-US" w:eastAsia="zh-CN"/>
        </w:rPr>
        <w:t xml:space="preserve"> </w:t>
      </w:r>
    </w:p>
    <w:p w14:paraId="37EAAA90">
      <w:pPr>
        <w:keepNext w:val="0"/>
        <w:keepLines w:val="0"/>
        <w:pageBreakBefore w:val="0"/>
        <w:widowControl w:val="0"/>
        <w:kinsoku/>
        <w:wordWrap/>
        <w:overflowPunct/>
        <w:topLinePunct w:val="0"/>
        <w:autoSpaceDE/>
        <w:autoSpaceDN/>
        <w:bidi w:val="0"/>
        <w:adjustRightInd/>
        <w:snapToGrid/>
        <w:spacing w:line="640" w:lineRule="exact"/>
        <w:ind w:firstLine="5120" w:firstLineChars="1600"/>
        <w:jc w:val="both"/>
        <w:textAlignment w:val="auto"/>
        <w:rPr>
          <w:rFonts w:hint="eastAsia" w:ascii="方正小标宋简体" w:hAnsi="方正小标宋简体" w:eastAsia="方正小标宋简体" w:cs="方正小标宋简体"/>
          <w:sz w:val="44"/>
          <w:szCs w:val="44"/>
        </w:rPr>
      </w:pPr>
      <w:r>
        <w:rPr>
          <w:rFonts w:hint="eastAsia" w:ascii="CESI仿宋-GB2312" w:hAnsi="CESI仿宋-GB2312" w:eastAsia="CESI仿宋-GB2312" w:cs="CESI仿宋-GB2312"/>
          <w:sz w:val="32"/>
          <w:szCs w:val="32"/>
          <w:lang w:eastAsia="zh-CN"/>
        </w:rPr>
        <w:t>武环审</w:t>
      </w:r>
      <w:r>
        <w:rPr>
          <w:rFonts w:hint="eastAsia" w:ascii="CESI仿宋-GB2312" w:hAnsi="CESI仿宋-GB2312" w:eastAsia="CESI仿宋-GB2312" w:cs="CESI仿宋-GB2312"/>
          <w:sz w:val="32"/>
          <w:szCs w:val="32"/>
        </w:rPr>
        <w:t>〔2026〕</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号</w:t>
      </w:r>
    </w:p>
    <w:p w14:paraId="572639C7">
      <w:pPr>
        <w:keepNext w:val="0"/>
        <w:keepLines w:val="0"/>
        <w:pageBreakBefore w:val="0"/>
        <w:widowControl w:val="0"/>
        <w:kinsoku/>
        <w:wordWrap/>
        <w:overflowPunct/>
        <w:topLinePunct w:val="0"/>
        <w:autoSpaceDE/>
        <w:autoSpaceDN/>
        <w:bidi w:val="0"/>
        <w:adjustRightInd/>
        <w:snapToGrid/>
        <w:spacing w:line="640" w:lineRule="exact"/>
        <w:ind w:firstLine="1320" w:firstLineChars="300"/>
        <w:jc w:val="both"/>
        <w:textAlignment w:val="auto"/>
        <w:rPr>
          <w:rFonts w:hint="eastAsia" w:ascii="方正小标宋简体" w:hAnsi="方正小标宋简体" w:eastAsia="方正小标宋简体" w:cs="方正小标宋简体"/>
          <w:sz w:val="44"/>
          <w:szCs w:val="44"/>
        </w:rPr>
      </w:pPr>
    </w:p>
    <w:p w14:paraId="622158E3">
      <w:pPr>
        <w:keepNext w:val="0"/>
        <w:keepLines w:val="0"/>
        <w:pageBreakBefore w:val="0"/>
        <w:widowControl w:val="0"/>
        <w:kinsoku/>
        <w:wordWrap/>
        <w:overflowPunct/>
        <w:topLinePunct w:val="0"/>
        <w:autoSpaceDE/>
        <w:autoSpaceDN/>
        <w:bidi w:val="0"/>
        <w:adjustRightInd/>
        <w:snapToGrid/>
        <w:spacing w:line="640" w:lineRule="exact"/>
        <w:ind w:firstLine="1320" w:firstLineChars="3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长治市生态环境局武乡分局</w:t>
      </w:r>
    </w:p>
    <w:p w14:paraId="0FF703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关于山</w:t>
      </w:r>
      <w:r>
        <w:rPr>
          <w:rFonts w:hint="eastAsia" w:ascii="方正小标宋简体" w:hAnsi="方正小标宋简体" w:eastAsia="方正小标宋简体" w:cs="方正小标宋简体"/>
          <w:sz w:val="44"/>
          <w:szCs w:val="44"/>
          <w:lang w:eastAsia="zh-CN"/>
        </w:rPr>
        <w:t>西昌靖环保科技有限公司新建年产90万m³商品混凝土搅拌站项目</w:t>
      </w:r>
      <w:r>
        <w:rPr>
          <w:rFonts w:hint="eastAsia" w:ascii="方正小标宋简体" w:hAnsi="方正小标宋简体" w:eastAsia="方正小标宋简体" w:cs="方正小标宋简体"/>
          <w:sz w:val="44"/>
          <w:szCs w:val="44"/>
        </w:rPr>
        <w:t>环境影响</w:t>
      </w:r>
    </w:p>
    <w:p w14:paraId="546B7B6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报告表的批复</w:t>
      </w:r>
    </w:p>
    <w:p w14:paraId="0D709A18">
      <w:pPr>
        <w:rPr>
          <w:rFonts w:hint="eastAsia" w:ascii="国标仿宋" w:hAnsi="国标仿宋" w:eastAsia="国标仿宋" w:cs="国标仿宋"/>
          <w:sz w:val="21"/>
          <w:szCs w:val="21"/>
        </w:rPr>
      </w:pPr>
    </w:p>
    <w:p w14:paraId="4D2643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山西昌靖环保科技有限公司</w:t>
      </w:r>
      <w:r>
        <w:rPr>
          <w:rFonts w:hint="eastAsia" w:ascii="CESI仿宋-GB2312" w:hAnsi="CESI仿宋-GB2312" w:eastAsia="CESI仿宋-GB2312" w:cs="CESI仿宋-GB2312"/>
          <w:sz w:val="32"/>
          <w:szCs w:val="32"/>
        </w:rPr>
        <w:t>：</w:t>
      </w:r>
    </w:p>
    <w:p w14:paraId="6CFA3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w:t>
      </w:r>
      <w:r>
        <w:rPr>
          <w:rFonts w:hint="eastAsia" w:ascii="CESI仿宋-GB2312" w:hAnsi="CESI仿宋-GB2312" w:eastAsia="CESI仿宋-GB2312" w:cs="CESI仿宋-GB2312"/>
          <w:sz w:val="32"/>
          <w:szCs w:val="32"/>
          <w:lang w:val="en-US" w:eastAsia="zh-CN"/>
        </w:rPr>
        <w:t>公司</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新建年产90万m³商品混凝土搅拌站项目</w:t>
      </w:r>
      <w:r>
        <w:rPr>
          <w:rFonts w:hint="eastAsia" w:ascii="CESI仿宋-GB2312" w:hAnsi="CESI仿宋-GB2312" w:eastAsia="CESI仿宋-GB2312" w:cs="CESI仿宋-GB2312"/>
          <w:sz w:val="32"/>
          <w:szCs w:val="32"/>
        </w:rPr>
        <w:t>环境影响报告表》（以下简称《报告表》）、报批申请、长治市生态环境科学研究院评估报告（长环科武〔2026〕</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号）及相关资料已收悉。经我局2026年</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30</w:t>
      </w:r>
      <w:r>
        <w:rPr>
          <w:rFonts w:hint="eastAsia" w:ascii="CESI仿宋-GB2312" w:hAnsi="CESI仿宋-GB2312" w:eastAsia="CESI仿宋-GB2312" w:cs="CESI仿宋-GB2312"/>
          <w:sz w:val="32"/>
          <w:szCs w:val="32"/>
        </w:rPr>
        <w:t>日行政审批集体讨论会研究，现批复如下：</w:t>
      </w:r>
    </w:p>
    <w:p w14:paraId="24A7E7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sz w:val="32"/>
          <w:szCs w:val="32"/>
          <w:lang w:eastAsia="zh-CN"/>
        </w:rPr>
        <w:t>该项目</w:t>
      </w:r>
      <w:r>
        <w:rPr>
          <w:rFonts w:hint="eastAsia" w:ascii="CESI仿宋-GB2312" w:hAnsi="CESI仿宋-GB2312" w:eastAsia="CESI仿宋-GB2312" w:cs="CESI仿宋-GB2312"/>
          <w:sz w:val="32"/>
          <w:szCs w:val="32"/>
        </w:rPr>
        <w:t>位于山西省长治市武乡县丰州镇上城村西南（武乡经济技术开发区（筹）中的西部和信园区内）。2022年3月2日，武乡县行政审批服务管理局为本项目备案，项目代码为2203-140429-89-01-365390。项目总投资2300万元，其中环保投资130万元。本次项目利用现有厂区空地进行建设。本次主要工程包括2条混凝土搅拌生产线，新建生产厂房、封闭式原料库，配套完善厂区水、电、路等基础设施。目前项目封闭式原料库、搅拌站等已经建设完成，长治市生态环境局于2025年9月9日对建设单位出具了行政处罚决定书。在严格落实《报告表》各项生态环境保护措施的前提下，项目不利环境影响可得到缓解或控制，原则同意项目实施。</w:t>
      </w:r>
    </w:p>
    <w:p w14:paraId="162B32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二、在项目建设和运营中，必须保证《</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》的各项污染防治措施按要求落实</w:t>
      </w:r>
      <w:r>
        <w:rPr>
          <w:rFonts w:hint="eastAsia" w:ascii="CESI仿宋-GB2312" w:hAnsi="CESI仿宋-GB2312" w:eastAsia="CESI仿宋-GB2312" w:cs="CESI仿宋-GB2312"/>
          <w:sz w:val="32"/>
          <w:szCs w:val="32"/>
          <w:lang w:eastAsia="zh-CN"/>
        </w:rPr>
        <w:t>，在实施中重点做好以下工作</w:t>
      </w:r>
      <w:r>
        <w:rPr>
          <w:rFonts w:hint="eastAsia" w:ascii="CESI仿宋-GB2312" w:hAnsi="CESI仿宋-GB2312" w:eastAsia="CESI仿宋-GB2312" w:cs="CESI仿宋-GB2312"/>
          <w:sz w:val="32"/>
          <w:szCs w:val="32"/>
        </w:rPr>
        <w:t>：</w:t>
      </w:r>
    </w:p>
    <w:p w14:paraId="58DAF1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严格落实</w:t>
      </w:r>
      <w:r>
        <w:rPr>
          <w:rFonts w:hint="eastAsia" w:ascii="楷体" w:hAnsi="楷体" w:eastAsia="楷体" w:cs="楷体"/>
          <w:sz w:val="32"/>
          <w:szCs w:val="32"/>
        </w:rPr>
        <w:t>大气污染防治</w:t>
      </w:r>
      <w:r>
        <w:rPr>
          <w:rFonts w:hint="eastAsia" w:ascii="楷体" w:hAnsi="楷体" w:eastAsia="楷体" w:cs="楷体"/>
          <w:sz w:val="32"/>
          <w:szCs w:val="32"/>
          <w:lang w:eastAsia="zh-CN"/>
        </w:rPr>
        <w:t>措施。</w:t>
      </w:r>
      <w:r>
        <w:rPr>
          <w:rFonts w:hint="eastAsia" w:ascii="CESI仿宋-GB2312" w:hAnsi="CESI仿宋-GB2312" w:eastAsia="CESI仿宋-GB2312" w:cs="CESI仿宋-GB2312"/>
          <w:sz w:val="32"/>
          <w:szCs w:val="32"/>
          <w:lang w:eastAsia="zh-CN"/>
        </w:rPr>
        <w:t>运营期原料库全封闭，库顶设喷淋洒水装置，卸料过程洒水抑尘；受料口采用脉冲布袋除尘器处理，粉尘处理后分别由1个15米高排气筒排放；搅拌机采用脉冲袋式除尘器处理，粉尘经处理后分别由1个18米高排气筒排放；水泥筒仓、矿粉筒仓和粉煤灰超细粉筒仓顶部均采用脉冲喷吹袋式除尘器，粉尘经处理后分别由1根27米高排气筒排放。颗粒物排放浓度须满足山西省《水泥工业大气污染物排放标准》（DB14/3176-2024）排放限值要求和《长治市大气污染防治工作领导组办公室关于进一步加强工业企业污染治理的通知》（长气防办</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6号）文件相关控制浓度要求，并符合经我局核定的该项目主要污染物排放总量指标：颗粒物1.262吨/年。</w:t>
      </w:r>
    </w:p>
    <w:p w14:paraId="3B03E8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eastAsia="zh-CN"/>
        </w:rPr>
        <w:t>严格落实</w:t>
      </w:r>
      <w:r>
        <w:rPr>
          <w:rFonts w:hint="eastAsia" w:ascii="楷体" w:hAnsi="楷体" w:eastAsia="楷体" w:cs="楷体"/>
          <w:sz w:val="32"/>
          <w:szCs w:val="32"/>
        </w:rPr>
        <w:t>水污染防治</w:t>
      </w:r>
      <w:r>
        <w:rPr>
          <w:rFonts w:hint="eastAsia" w:ascii="楷体" w:hAnsi="楷体" w:eastAsia="楷体" w:cs="楷体"/>
          <w:sz w:val="32"/>
          <w:szCs w:val="32"/>
          <w:lang w:eastAsia="zh-CN"/>
        </w:rPr>
        <w:t>措施。</w:t>
      </w:r>
      <w:r>
        <w:rPr>
          <w:rFonts w:hint="eastAsia" w:ascii="CESI仿宋-GB2312" w:hAnsi="CESI仿宋-GB2312" w:eastAsia="CESI仿宋-GB2312" w:cs="CESI仿宋-GB2312"/>
          <w:sz w:val="32"/>
          <w:szCs w:val="32"/>
          <w:lang w:val="en-US" w:eastAsia="zh-CN"/>
        </w:rPr>
        <w:t>运营期生产废水经砂石分离器+沉砂池处理后回用于搅拌用水；依托现有洗车平台，清洗废水经沉淀之后循环利用，所有废水均不外排。</w:t>
      </w:r>
    </w:p>
    <w:p w14:paraId="7ADCA6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严格落实</w:t>
      </w:r>
      <w:r>
        <w:rPr>
          <w:rFonts w:hint="eastAsia" w:ascii="楷体" w:hAnsi="楷体" w:eastAsia="楷体" w:cs="楷体"/>
          <w:sz w:val="32"/>
          <w:szCs w:val="32"/>
        </w:rPr>
        <w:t>噪声污染防治</w:t>
      </w:r>
      <w:r>
        <w:rPr>
          <w:rFonts w:hint="eastAsia" w:ascii="楷体" w:hAnsi="楷体" w:eastAsia="楷体" w:cs="楷体"/>
          <w:sz w:val="32"/>
          <w:szCs w:val="32"/>
          <w:lang w:eastAsia="zh-CN"/>
        </w:rPr>
        <w:t>措施。</w:t>
      </w:r>
      <w:r>
        <w:rPr>
          <w:rFonts w:hint="eastAsia" w:ascii="CESI仿宋-GB2312" w:hAnsi="CESI仿宋-GB2312" w:eastAsia="CESI仿宋-GB2312" w:cs="CESI仿宋-GB2312"/>
          <w:sz w:val="32"/>
          <w:szCs w:val="32"/>
          <w:lang w:val="en-US" w:eastAsia="zh-CN"/>
        </w:rPr>
        <w:t>运营期降噪措施主要为：选用低噪声设备，基础减振，建筑物隔声等。正常工况下厂界四周昼间噪声均满足《工业企业厂界环境噪声排放标准》（GB 12348-2008）中2类标准限值要求。</w:t>
      </w:r>
    </w:p>
    <w:p w14:paraId="773721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lang w:eastAsia="zh-CN"/>
        </w:rPr>
        <w:t>（四）严格落实固废污染防治措施。</w:t>
      </w:r>
      <w:r>
        <w:rPr>
          <w:rFonts w:hint="eastAsia" w:ascii="CESI仿宋-GB2312" w:hAnsi="CESI仿宋-GB2312" w:eastAsia="CESI仿宋-GB2312" w:cs="CESI仿宋-GB2312"/>
          <w:sz w:val="32"/>
          <w:szCs w:val="32"/>
          <w:lang w:val="en-US" w:eastAsia="zh-CN"/>
        </w:rPr>
        <w:t>运营期除尘灰、沉砂池沉淀砂石、车辆冲洗沉淀池产生的沉渣可回用于生产；试拌废弃物作为建筑材料出售或用于修路时路基补充料。废矿物油、废油桶等危险废物依托现有危险废物贮存库，按照《危险废物贮存污染控制标准》（GB 18597-2023）的要求贮存和管理，定期交有资质单位统一进行处理。</w:t>
      </w:r>
    </w:p>
    <w:p w14:paraId="234E5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楷体" w:hAnsi="楷体" w:eastAsia="楷体" w:cs="楷体"/>
          <w:sz w:val="32"/>
          <w:szCs w:val="32"/>
          <w:lang w:eastAsia="zh-CN"/>
        </w:rPr>
        <w:t>（五）</w:t>
      </w:r>
      <w:r>
        <w:rPr>
          <w:rFonts w:hint="eastAsia" w:ascii="楷体" w:hAnsi="楷体" w:eastAsia="楷体" w:cs="楷体"/>
          <w:sz w:val="32"/>
          <w:szCs w:val="32"/>
          <w:lang w:val="en-US" w:eastAsia="zh-CN"/>
        </w:rPr>
        <w:t>加强</w:t>
      </w:r>
      <w:r>
        <w:rPr>
          <w:rFonts w:hint="eastAsia" w:ascii="楷体" w:hAnsi="楷体" w:eastAsia="楷体" w:cs="楷体"/>
          <w:sz w:val="32"/>
          <w:szCs w:val="32"/>
          <w:lang w:eastAsia="zh-CN"/>
        </w:rPr>
        <w:t>地下水及土壤</w:t>
      </w:r>
      <w:r>
        <w:rPr>
          <w:rFonts w:hint="eastAsia" w:ascii="楷体" w:hAnsi="楷体" w:eastAsia="楷体" w:cs="楷体"/>
          <w:sz w:val="32"/>
          <w:szCs w:val="32"/>
          <w:lang w:val="en-US" w:eastAsia="zh-CN"/>
        </w:rPr>
        <w:t>环境保护</w:t>
      </w:r>
      <w:r>
        <w:rPr>
          <w:rFonts w:hint="eastAsia" w:ascii="楷体" w:hAnsi="楷体" w:eastAsia="楷体" w:cs="楷体"/>
          <w:sz w:val="32"/>
          <w:szCs w:val="32"/>
          <w:lang w:eastAsia="zh-CN"/>
        </w:rPr>
        <w:t>措施</w:t>
      </w:r>
      <w:r>
        <w:rPr>
          <w:rFonts w:hint="eastAsia" w:ascii="楷体" w:hAnsi="楷体" w:eastAsia="楷体" w:cs="楷体"/>
          <w:sz w:val="32"/>
          <w:szCs w:val="32"/>
          <w:lang w:val="en-US" w:eastAsia="zh-CN"/>
        </w:rPr>
        <w:t>。</w:t>
      </w:r>
      <w:r>
        <w:rPr>
          <w:rFonts w:hint="eastAsia" w:ascii="CESI仿宋-GB2312" w:hAnsi="CESI仿宋-GB2312" w:eastAsia="CESI仿宋-GB2312" w:cs="CESI仿宋-GB2312"/>
          <w:sz w:val="32"/>
          <w:szCs w:val="32"/>
          <w:lang w:val="en-US" w:eastAsia="zh-CN"/>
        </w:rPr>
        <w:t>危废贮存库、湿尾渣堆存区、事故水池等为重点防渗区；搅拌站及转运区、原料库为一般防渗区。</w:t>
      </w:r>
    </w:p>
    <w:p w14:paraId="1D6DEE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lang w:val="en-US" w:eastAsia="zh-CN"/>
        </w:rPr>
        <w:t>严格落实</w:t>
      </w:r>
      <w:r>
        <w:rPr>
          <w:rFonts w:hint="eastAsia" w:ascii="楷体" w:hAnsi="楷体" w:eastAsia="楷体" w:cs="楷体"/>
          <w:sz w:val="32"/>
          <w:szCs w:val="32"/>
          <w:lang w:eastAsia="zh-CN"/>
        </w:rPr>
        <w:t>生态保护</w:t>
      </w:r>
      <w:r>
        <w:rPr>
          <w:rFonts w:hint="eastAsia" w:ascii="楷体" w:hAnsi="楷体" w:eastAsia="楷体" w:cs="楷体"/>
          <w:sz w:val="32"/>
          <w:szCs w:val="32"/>
          <w:lang w:val="en-US" w:eastAsia="zh-CN"/>
        </w:rPr>
        <w:t>措施。</w:t>
      </w:r>
      <w:r>
        <w:rPr>
          <w:rFonts w:hint="eastAsia" w:ascii="CESI仿宋-GB2312" w:hAnsi="CESI仿宋-GB2312" w:eastAsia="CESI仿宋-GB2312" w:cs="CESI仿宋-GB2312"/>
          <w:sz w:val="32"/>
          <w:szCs w:val="32"/>
        </w:rPr>
        <w:t>建立健全环保规章制度，配备必要的环境管理人员，按要求开展环境监测工作，加强绿化工作，做好日常环保监管工作，确保环保设施正常稳定运行和污染物达标排放。</w:t>
      </w:r>
    </w:p>
    <w:p w14:paraId="02673D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sz w:val="32"/>
          <w:szCs w:val="32"/>
        </w:rPr>
        <w:t>三、</w:t>
      </w:r>
      <w:r>
        <w:rPr>
          <w:rFonts w:hint="eastAsia" w:ascii="CESI仿宋-GB2312" w:hAnsi="CESI仿宋-GB2312" w:eastAsia="CESI仿宋-GB2312" w:cs="CESI仿宋-GB2312"/>
          <w:bCs/>
          <w:sz w:val="32"/>
          <w:szCs w:val="32"/>
        </w:rPr>
        <w:t>本项目环境影响报告</w:t>
      </w:r>
      <w:r>
        <w:rPr>
          <w:rFonts w:hint="eastAsia" w:ascii="CESI仿宋-GB2312" w:hAnsi="CESI仿宋-GB2312" w:eastAsia="CESI仿宋-GB2312" w:cs="CESI仿宋-GB2312"/>
          <w:bCs/>
          <w:sz w:val="32"/>
          <w:szCs w:val="32"/>
          <w:lang w:eastAsia="zh-CN"/>
        </w:rPr>
        <w:t>表</w:t>
      </w:r>
      <w:r>
        <w:rPr>
          <w:rFonts w:hint="eastAsia" w:ascii="CESI仿宋-GB2312" w:hAnsi="CESI仿宋-GB2312" w:eastAsia="CESI仿宋-GB2312" w:cs="CESI仿宋-GB2312"/>
          <w:bCs/>
          <w:sz w:val="32"/>
          <w:szCs w:val="32"/>
        </w:rPr>
        <w:t>经批复后，项目的性质、规模、地点、采用的生产工艺和环境保护措施发生重大变动的，应及时重新报批。</w:t>
      </w:r>
    </w:p>
    <w:p w14:paraId="7A1EA9DA">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eastAsia="zh-CN"/>
        </w:rPr>
        <w:t>四</w:t>
      </w:r>
      <w:r>
        <w:rPr>
          <w:rFonts w:hint="eastAsia" w:ascii="CESI仿宋-GB2312" w:hAnsi="CESI仿宋-GB2312" w:eastAsia="CESI仿宋-GB2312" w:cs="CESI仿宋-GB2312"/>
          <w:bCs/>
          <w:sz w:val="32"/>
          <w:szCs w:val="32"/>
        </w:rPr>
        <w:t>、强化各项环境风险防范措施</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制定突发环境事件应急预案，与当地政府及相关单位</w:t>
      </w:r>
      <w:r>
        <w:rPr>
          <w:rFonts w:hint="eastAsia" w:ascii="CESI仿宋-GB2312" w:hAnsi="CESI仿宋-GB2312" w:eastAsia="CESI仿宋-GB2312" w:cs="CESI仿宋-GB2312"/>
          <w:bCs/>
          <w:sz w:val="32"/>
          <w:szCs w:val="32"/>
          <w:lang w:val="en-US" w:eastAsia="zh-CN"/>
        </w:rPr>
        <w:t>应急预案</w:t>
      </w:r>
      <w:r>
        <w:rPr>
          <w:rFonts w:hint="eastAsia" w:ascii="CESI仿宋-GB2312" w:hAnsi="CESI仿宋-GB2312" w:eastAsia="CESI仿宋-GB2312" w:cs="CESI仿宋-GB2312"/>
          <w:bCs/>
          <w:sz w:val="32"/>
          <w:szCs w:val="32"/>
        </w:rPr>
        <w:t>实施联动，定期组织开展演练。严格落实各项应急管理及环境风险防范措施，</w:t>
      </w:r>
      <w:r>
        <w:rPr>
          <w:rFonts w:hint="eastAsia" w:ascii="CESI仿宋-GB2312" w:hAnsi="CESI仿宋-GB2312" w:eastAsia="CESI仿宋-GB2312" w:cs="CESI仿宋-GB2312"/>
          <w:bCs/>
          <w:sz w:val="32"/>
          <w:szCs w:val="32"/>
          <w:lang w:val="en-US" w:eastAsia="zh-CN"/>
        </w:rPr>
        <w:t>确保事故状态下各项污染物及时得到妥善处置，不对外环境造成污染影响。</w:t>
      </w:r>
    </w:p>
    <w:p w14:paraId="27E614D0">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lang w:eastAsia="zh-CN"/>
        </w:rPr>
        <w:t>五</w:t>
      </w:r>
      <w:r>
        <w:rPr>
          <w:rFonts w:hint="eastAsia" w:ascii="CESI仿宋-GB2312" w:hAnsi="CESI仿宋-GB2312" w:eastAsia="CESI仿宋-GB2312" w:cs="CESI仿宋-GB2312"/>
          <w:bCs/>
          <w:sz w:val="32"/>
          <w:szCs w:val="32"/>
        </w:rPr>
        <w:t>、建立内部生态环境管理机构和制度，</w:t>
      </w:r>
      <w:r>
        <w:rPr>
          <w:rFonts w:hint="eastAsia" w:ascii="CESI仿宋-GB2312" w:hAnsi="CESI仿宋-GB2312" w:eastAsia="CESI仿宋-GB2312" w:cs="CESI仿宋-GB2312"/>
          <w:sz w:val="32"/>
          <w:szCs w:val="32"/>
          <w:lang w:eastAsia="zh-CN"/>
        </w:rPr>
        <w:t>配备必要的环境管理人员，</w:t>
      </w:r>
      <w:r>
        <w:rPr>
          <w:rFonts w:hint="eastAsia" w:ascii="CESI仿宋-GB2312" w:hAnsi="CESI仿宋-GB2312" w:eastAsia="CESI仿宋-GB2312" w:cs="CESI仿宋-GB2312"/>
          <w:bCs/>
          <w:sz w:val="32"/>
          <w:szCs w:val="32"/>
        </w:rPr>
        <w:t>明确人员和生态环境保护职责。项目</w:t>
      </w:r>
      <w:r>
        <w:rPr>
          <w:rFonts w:hint="eastAsia" w:ascii="CESI仿宋-GB2312" w:hAnsi="CESI仿宋-GB2312" w:eastAsia="CESI仿宋-GB2312" w:cs="CESI仿宋-GB2312"/>
          <w:bCs/>
          <w:sz w:val="32"/>
          <w:szCs w:val="32"/>
          <w:lang w:val="en-US" w:eastAsia="zh-CN"/>
        </w:rPr>
        <w:t>实施必须执行环境保护</w:t>
      </w:r>
      <w:r>
        <w:rPr>
          <w:rFonts w:hint="eastAsia" w:ascii="CESI仿宋-GB2312" w:hAnsi="CESI仿宋-GB2312" w:eastAsia="CESI仿宋-GB2312" w:cs="CESI仿宋-GB2312"/>
          <w:bCs/>
          <w:sz w:val="32"/>
          <w:szCs w:val="32"/>
        </w:rPr>
        <w:t>设施</w:t>
      </w:r>
      <w:r>
        <w:rPr>
          <w:rFonts w:hint="eastAsia" w:ascii="CESI仿宋-GB2312" w:hAnsi="CESI仿宋-GB2312" w:eastAsia="CESI仿宋-GB2312" w:cs="CESI仿宋-GB2312"/>
          <w:bCs/>
          <w:sz w:val="32"/>
          <w:szCs w:val="32"/>
          <w:lang w:val="en-US" w:eastAsia="zh-CN"/>
        </w:rPr>
        <w:t>与主体工程</w:t>
      </w:r>
      <w:r>
        <w:rPr>
          <w:rFonts w:hint="eastAsia" w:ascii="CESI仿宋-GB2312" w:hAnsi="CESI仿宋-GB2312" w:eastAsia="CESI仿宋-GB2312" w:cs="CESI仿宋-GB2312"/>
          <w:bCs/>
          <w:sz w:val="32"/>
          <w:szCs w:val="32"/>
        </w:rPr>
        <w:t>同时设计、同时施工、同时投产</w:t>
      </w:r>
      <w:r>
        <w:rPr>
          <w:rFonts w:hint="eastAsia" w:ascii="CESI仿宋-GB2312" w:hAnsi="CESI仿宋-GB2312" w:eastAsia="CESI仿宋-GB2312" w:cs="CESI仿宋-GB2312"/>
          <w:bCs/>
          <w:sz w:val="32"/>
          <w:szCs w:val="32"/>
          <w:lang w:val="en-US" w:eastAsia="zh-CN"/>
        </w:rPr>
        <w:t>的环境保护“三同时”</w:t>
      </w:r>
      <w:r>
        <w:rPr>
          <w:rFonts w:hint="eastAsia" w:ascii="CESI仿宋-GB2312" w:hAnsi="CESI仿宋-GB2312" w:eastAsia="CESI仿宋-GB2312" w:cs="CESI仿宋-GB2312"/>
          <w:bCs/>
          <w:sz w:val="32"/>
          <w:szCs w:val="32"/>
        </w:rPr>
        <w:t>制度，将环保设施同主体工程一体纳入项目安全设施设计中，并按照国家有关规定报经相关行业监管部门审查批准</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项目建成</w:t>
      </w:r>
      <w:r>
        <w:rPr>
          <w:rFonts w:hint="eastAsia" w:ascii="CESI仿宋-GB2312" w:hAnsi="CESI仿宋-GB2312" w:eastAsia="CESI仿宋-GB2312" w:cs="CESI仿宋-GB2312"/>
          <w:bCs/>
          <w:sz w:val="32"/>
          <w:szCs w:val="32"/>
          <w:lang w:val="en-US" w:eastAsia="zh-CN"/>
        </w:rPr>
        <w:t>后</w:t>
      </w:r>
      <w:r>
        <w:rPr>
          <w:rFonts w:hint="eastAsia" w:ascii="CESI仿宋-GB2312" w:hAnsi="CESI仿宋-GB2312" w:eastAsia="CESI仿宋-GB2312" w:cs="CESI仿宋-GB2312"/>
          <w:bCs/>
          <w:sz w:val="32"/>
          <w:szCs w:val="32"/>
        </w:rPr>
        <w:t>应及时</w:t>
      </w:r>
      <w:r>
        <w:rPr>
          <w:rFonts w:hint="eastAsia" w:ascii="CESI仿宋-GB2312" w:hAnsi="CESI仿宋-GB2312" w:eastAsia="CESI仿宋-GB2312" w:cs="CESI仿宋-GB2312"/>
          <w:sz w:val="32"/>
          <w:szCs w:val="32"/>
          <w:lang w:val="en-US" w:eastAsia="zh-CN"/>
        </w:rPr>
        <w:t>按规定程序</w:t>
      </w:r>
      <w:r>
        <w:rPr>
          <w:rFonts w:hint="eastAsia" w:ascii="CESI仿宋-GB2312" w:hAnsi="CESI仿宋-GB2312" w:eastAsia="CESI仿宋-GB2312" w:cs="CESI仿宋-GB2312"/>
          <w:bCs/>
          <w:sz w:val="32"/>
          <w:szCs w:val="32"/>
        </w:rPr>
        <w:t>开展竣工环境保护验收工作</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sz w:val="32"/>
          <w:szCs w:val="32"/>
          <w:lang w:val="en-US" w:eastAsia="zh-CN"/>
        </w:rPr>
        <w:t>验收合格后，工程方可正式投入运行。</w:t>
      </w:r>
    </w:p>
    <w:p w14:paraId="73683993">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lang w:eastAsia="zh-CN"/>
        </w:rPr>
        <w:t>六</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sz w:val="32"/>
          <w:szCs w:val="32"/>
        </w:rPr>
        <w:t>武乡县生态环境保护综合行政执法队</w:t>
      </w:r>
      <w:r>
        <w:rPr>
          <w:rFonts w:hint="eastAsia" w:ascii="CESI仿宋-GB2312" w:hAnsi="CESI仿宋-GB2312" w:eastAsia="CESI仿宋-GB2312" w:cs="CESI仿宋-GB2312"/>
          <w:bCs/>
          <w:sz w:val="32"/>
          <w:szCs w:val="32"/>
        </w:rPr>
        <w:t>负责该项目“三同时</w:t>
      </w:r>
      <w:r>
        <w:rPr>
          <w:rFonts w:hint="eastAsia" w:ascii="CESI仿宋-GB2312" w:hAnsi="CESI仿宋-GB2312" w:eastAsia="CESI仿宋-GB2312" w:cs="CESI仿宋-GB2312"/>
          <w:bCs/>
          <w:sz w:val="32"/>
          <w:szCs w:val="32"/>
          <w:lang w:eastAsia="zh-CN"/>
        </w:rPr>
        <w:t>”监督检查及日常监督管理工作。</w:t>
      </w:r>
    </w:p>
    <w:p w14:paraId="63619695">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CESI仿宋-GB2312" w:hAnsi="CESI仿宋-GB2312" w:eastAsia="CESI仿宋-GB2312" w:cs="CESI仿宋-GB2312"/>
          <w:sz w:val="32"/>
          <w:szCs w:val="32"/>
        </w:rPr>
      </w:pPr>
    </w:p>
    <w:p w14:paraId="450FEB4D">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CESI仿宋-GB2312" w:hAnsi="CESI仿宋-GB2312" w:eastAsia="CESI仿宋-GB2312" w:cs="CESI仿宋-GB2312"/>
          <w:sz w:val="32"/>
          <w:szCs w:val="32"/>
        </w:rPr>
      </w:pPr>
    </w:p>
    <w:p w14:paraId="336CDF1C">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CESI仿宋-GB2312" w:hAnsi="CESI仿宋-GB2312" w:eastAsia="CESI仿宋-GB2312" w:cs="CESI仿宋-GB2312"/>
          <w:sz w:val="32"/>
          <w:szCs w:val="32"/>
        </w:rPr>
      </w:pPr>
    </w:p>
    <w:p w14:paraId="08FA9A25">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长治市生态环境局武乡分局</w:t>
      </w:r>
    </w:p>
    <w:p w14:paraId="692A0087">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年</w:t>
      </w:r>
      <w:r>
        <w:rPr>
          <w:rFonts w:hint="default"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US" w:eastAsia="zh-CN"/>
        </w:rPr>
        <w:t>31</w:t>
      </w:r>
      <w:r>
        <w:rPr>
          <w:rFonts w:hint="eastAsia" w:ascii="CESI仿宋-GB2312" w:hAnsi="CESI仿宋-GB2312" w:eastAsia="CESI仿宋-GB2312" w:cs="CESI仿宋-GB2312"/>
          <w:sz w:val="32"/>
          <w:szCs w:val="32"/>
        </w:rPr>
        <w:t>日</w:t>
      </w: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国标仿宋">
    <w:altName w:val="方正仿宋_GBK"/>
    <w:panose1 w:val="02000500000000000000"/>
    <w:charset w:val="86"/>
    <w:family w:val="auto"/>
    <w:pitch w:val="default"/>
    <w:sig w:usb0="00000000" w:usb1="00000000" w:usb2="00000016" w:usb3="00000000" w:csb0="00060007" w:csb1="00000000"/>
  </w:font>
  <w:font w:name="楷体">
    <w:altName w:val="方正楷体_GBK"/>
    <w:panose1 w:val="02010609060101010101"/>
    <w:charset w:val="86"/>
    <w:family w:val="auto"/>
    <w:pitch w:val="default"/>
    <w:sig w:usb0="00000000" w:usb1="00000000" w:usb2="00000016" w:usb3="00000000" w:csb0="00040001" w:csb1="0000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92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ECF6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EECF6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B7D39"/>
    <w:rsid w:val="118F65E6"/>
    <w:rsid w:val="29EF5852"/>
    <w:rsid w:val="3A8E1BAB"/>
    <w:rsid w:val="3DC6348C"/>
    <w:rsid w:val="3FEB7D39"/>
    <w:rsid w:val="40155096"/>
    <w:rsid w:val="471843AC"/>
    <w:rsid w:val="4AFDC17D"/>
    <w:rsid w:val="507F7951"/>
    <w:rsid w:val="52635D44"/>
    <w:rsid w:val="5A6310DA"/>
    <w:rsid w:val="5E77B6D7"/>
    <w:rsid w:val="7C9F4A64"/>
    <w:rsid w:val="7ED743BE"/>
    <w:rsid w:val="AFB563D7"/>
    <w:rsid w:val="AFED4CD8"/>
    <w:rsid w:val="BE7F2AA1"/>
    <w:rsid w:val="CF7FE0AA"/>
    <w:rsid w:val="EFEB62D3"/>
    <w:rsid w:val="FB7D9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000标题2"/>
    <w:basedOn w:val="1"/>
    <w:autoRedefine/>
    <w:qFormat/>
    <w:uiPriority w:val="0"/>
    <w:pPr>
      <w:adjustRightInd w:val="0"/>
      <w:snapToGrid w:val="0"/>
      <w:spacing w:line="600" w:lineRule="exact"/>
      <w:ind w:firstLine="200" w:firstLineChars="200"/>
      <w:outlineLvl w:val="1"/>
    </w:pPr>
    <w:rPr>
      <w:rFonts w:ascii="Times New Roman" w:hAnsi="Times New Roman" w:eastAsia="仿宋" w:cs="楷体_GB2312"/>
      <w:b/>
      <w:bCs/>
      <w:color w:val="000000"/>
      <w:spacing w:val="-11"/>
      <w:sz w:val="32"/>
      <w:szCs w:val="32"/>
    </w:rPr>
  </w:style>
  <w:style w:type="paragraph" w:customStyle="1" w:styleId="7">
    <w:name w:val="No Spacing_ad81b47b-6779-4c76-b471-79375858c8cb"/>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
    <w:name w:val="3级节标题"/>
    <w:basedOn w:val="1"/>
    <w:qFormat/>
    <w:uiPriority w:val="0"/>
    <w:pPr>
      <w:spacing w:line="600" w:lineRule="atLeast"/>
      <w:jc w:val="left"/>
      <w:outlineLvl w:val="2"/>
    </w:pPr>
    <w:rPr>
      <w:rFonts w:ascii="黑体" w:hAnsi="黑体" w:eastAsia="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1667</Words>
  <Characters>1761</Characters>
  <Lines>0</Lines>
  <Paragraphs>0</Paragraphs>
  <TotalTime>1</TotalTime>
  <ScaleCrop>false</ScaleCrop>
  <LinksUpToDate>false</LinksUpToDate>
  <CharactersWithSpaces>1766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2026-02-27T00:33:00Z</dcterms:created>
  <dc:creator>lenovo</dc:creator>
  <cp:lastModifiedBy>user</cp:lastModifiedBy>
  <cp:lastPrinted>2026-03-25T17:19:00Z</cp:lastPrinted>
  <dcterms:modified xsi:type="dcterms:W3CDTF">2026-03-31T09:05:01Z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ACDC80283D05BE9EBD1DCB6945D6EE76_43</vt:lpwstr>
  </property>
  <property fmtid="{D5CDD505-2E9C-101B-9397-08002B2CF9AE}" pid="4" name="KSOTemplateDocerSaveRecord">
    <vt:lpwstr>eyJoZGlkIjoiMTI1NzJmNmJlZjFlZWMwZjU1OTViODVkMjI4OGM3OWMiLCJ1c2VySWQiOiIyNzU0ODY5MDQifQ==</vt:lpwstr>
  </property>
</Properties>
</file>