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宋体" w:hAnsi="华文宋体" w:eastAsia="华文宋体"/>
          <w:b/>
          <w:bCs/>
          <w:sz w:val="36"/>
          <w:szCs w:val="36"/>
        </w:rPr>
      </w:pPr>
      <w:bookmarkStart w:id="2" w:name="_GoBack"/>
      <w:bookmarkEnd w:id="2"/>
    </w:p>
    <w:p>
      <w:pPr>
        <w:jc w:val="center"/>
        <w:rPr>
          <w:rFonts w:ascii="华文宋体" w:hAnsi="华文宋体" w:eastAsia="华文宋体"/>
          <w:b/>
          <w:bCs/>
          <w:sz w:val="36"/>
          <w:szCs w:val="36"/>
        </w:rPr>
      </w:pPr>
    </w:p>
    <w:p>
      <w:pPr>
        <w:jc w:val="center"/>
        <w:rPr>
          <w:rFonts w:ascii="华文宋体" w:hAnsi="华文宋体" w:eastAsia="华文宋体"/>
          <w:b/>
          <w:bCs/>
          <w:sz w:val="36"/>
          <w:szCs w:val="36"/>
        </w:rPr>
      </w:pPr>
      <w:r>
        <w:rPr>
          <w:rFonts w:hint="eastAsia" w:ascii="华文宋体" w:hAnsi="华文宋体" w:eastAsia="华文宋体"/>
          <w:b/>
          <w:bCs/>
          <w:sz w:val="36"/>
          <w:szCs w:val="36"/>
        </w:rPr>
        <w:t>武乡县2</w:t>
      </w:r>
      <w:r>
        <w:rPr>
          <w:rFonts w:ascii="华文宋体" w:hAnsi="华文宋体" w:eastAsia="华文宋体"/>
          <w:b/>
          <w:bCs/>
          <w:sz w:val="36"/>
          <w:szCs w:val="36"/>
        </w:rPr>
        <w:t>019</w:t>
      </w:r>
      <w:r>
        <w:rPr>
          <w:rFonts w:hint="eastAsia" w:ascii="华文宋体" w:hAnsi="华文宋体" w:eastAsia="华文宋体"/>
          <w:b/>
          <w:bCs/>
          <w:sz w:val="36"/>
          <w:szCs w:val="36"/>
        </w:rPr>
        <w:t>年财政总决算公开说明</w:t>
      </w: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根据《中华人民共和国预算法》、《中华人民共和国政府信息公开条例》</w:t>
      </w:r>
      <w:bookmarkStart w:id="0" w:name="_Hlk72505399"/>
      <w:r>
        <w:rPr>
          <w:rFonts w:hint="eastAsia" w:ascii="仿宋_GB2312" w:eastAsia="仿宋_GB2312"/>
          <w:sz w:val="32"/>
          <w:szCs w:val="32"/>
        </w:rPr>
        <w:t>、《财政部关于印发</w:t>
      </w:r>
      <w:r>
        <w:rPr>
          <w:rFonts w:hint="eastAsia" w:ascii="仿宋_GB2312" w:hAnsi="仿宋_GB2312" w:eastAsia="仿宋_GB2312"/>
          <w:sz w:val="32"/>
          <w:szCs w:val="32"/>
        </w:rPr>
        <w:t>&lt;</w:t>
      </w:r>
      <w:r>
        <w:rPr>
          <w:rFonts w:hint="eastAsia" w:ascii="仿宋_GB2312" w:eastAsia="仿宋_GB2312"/>
          <w:sz w:val="32"/>
          <w:szCs w:val="32"/>
        </w:rPr>
        <w:t>地方预决算公开操作规程的通知</w:t>
      </w:r>
      <w:r>
        <w:rPr>
          <w:rFonts w:hint="eastAsia" w:ascii="仿宋_GB2312" w:hAnsi="仿宋_GB2312" w:eastAsia="仿宋_GB2312"/>
          <w:sz w:val="32"/>
          <w:szCs w:val="32"/>
        </w:rPr>
        <w:t>&gt;</w:t>
      </w:r>
      <w:r>
        <w:rPr>
          <w:rFonts w:hint="eastAsia" w:ascii="仿宋_GB2312" w:eastAsia="仿宋_GB2312"/>
          <w:sz w:val="32"/>
          <w:szCs w:val="32"/>
        </w:rPr>
        <w:t>》</w:t>
      </w:r>
      <w:bookmarkEnd w:id="0"/>
      <w:bookmarkStart w:id="1" w:name="_Hlk72505912"/>
      <w:r>
        <w:rPr>
          <w:rFonts w:hint="eastAsia" w:ascii="仿宋_GB2312" w:eastAsia="仿宋_GB2312"/>
          <w:sz w:val="32"/>
          <w:szCs w:val="32"/>
        </w:rPr>
        <w:t>（财预</w:t>
      </w:r>
      <w:r>
        <w:rPr>
          <w:rFonts w:hint="eastAsia" w:ascii="仿宋_GB2312" w:hAnsi="仿宋_GB2312" w:eastAsia="仿宋_GB2312"/>
          <w:sz w:val="32"/>
          <w:szCs w:val="32"/>
        </w:rPr>
        <w:t>[</w:t>
      </w:r>
      <w:r>
        <w:rPr>
          <w:rFonts w:ascii="仿宋_GB2312" w:hAnsi="仿宋_GB2312" w:eastAsia="仿宋_GB2312"/>
          <w:sz w:val="32"/>
          <w:szCs w:val="32"/>
        </w:rPr>
        <w:t>2016</w:t>
      </w:r>
      <w:r>
        <w:rPr>
          <w:rFonts w:hint="eastAsia" w:ascii="仿宋_GB2312" w:hAnsi="仿宋_GB2312" w:eastAsia="仿宋_GB2312"/>
          <w:sz w:val="32"/>
          <w:szCs w:val="32"/>
        </w:rPr>
        <w:t>]</w:t>
      </w:r>
      <w:r>
        <w:rPr>
          <w:rFonts w:ascii="仿宋_GB2312" w:hAnsi="仿宋_GB2312" w:eastAsia="仿宋_GB2312"/>
          <w:sz w:val="32"/>
          <w:szCs w:val="32"/>
        </w:rPr>
        <w:t>143</w:t>
      </w:r>
      <w:r>
        <w:rPr>
          <w:rFonts w:hint="eastAsia" w:ascii="仿宋_GB2312" w:hAnsi="仿宋_GB2312" w:eastAsia="仿宋_GB2312"/>
          <w:sz w:val="32"/>
          <w:szCs w:val="32"/>
        </w:rPr>
        <w:t>号</w:t>
      </w:r>
      <w:r>
        <w:rPr>
          <w:rFonts w:hint="eastAsia" w:ascii="仿宋_GB2312" w:eastAsia="仿宋_GB2312"/>
          <w:sz w:val="32"/>
          <w:szCs w:val="32"/>
        </w:rPr>
        <w:t>）</w:t>
      </w:r>
      <w:bookmarkEnd w:id="1"/>
      <w:r>
        <w:rPr>
          <w:rFonts w:hint="eastAsia" w:ascii="仿宋_GB2312" w:eastAsia="仿宋_GB2312"/>
          <w:sz w:val="32"/>
          <w:szCs w:val="32"/>
        </w:rPr>
        <w:t>、《财政部关于印发</w:t>
      </w:r>
      <w:r>
        <w:rPr>
          <w:rFonts w:hint="eastAsia" w:ascii="仿宋_GB2312" w:hAnsi="仿宋_GB2312" w:eastAsia="仿宋_GB2312"/>
          <w:sz w:val="32"/>
          <w:szCs w:val="32"/>
        </w:rPr>
        <w:t>&lt;</w:t>
      </w:r>
      <w:r>
        <w:rPr>
          <w:rFonts w:hint="eastAsia" w:ascii="仿宋_GB2312" w:eastAsia="仿宋_GB2312"/>
          <w:sz w:val="32"/>
          <w:szCs w:val="32"/>
        </w:rPr>
        <w:t>地方政府债务信息公开办法（试行）的通知</w:t>
      </w:r>
      <w:r>
        <w:rPr>
          <w:rFonts w:hint="eastAsia" w:ascii="仿宋_GB2312" w:hAnsi="仿宋_GB2312" w:eastAsia="仿宋_GB2312"/>
          <w:sz w:val="32"/>
          <w:szCs w:val="32"/>
        </w:rPr>
        <w:t>&gt;</w:t>
      </w:r>
      <w:r>
        <w:rPr>
          <w:rFonts w:hint="eastAsia" w:ascii="仿宋_GB2312" w:eastAsia="仿宋_GB2312"/>
          <w:sz w:val="32"/>
          <w:szCs w:val="32"/>
        </w:rPr>
        <w:t>》（财预</w:t>
      </w:r>
      <w:r>
        <w:rPr>
          <w:rFonts w:hint="eastAsia" w:ascii="仿宋_GB2312" w:hAnsi="仿宋_GB2312" w:eastAsia="仿宋_GB2312"/>
          <w:sz w:val="32"/>
          <w:szCs w:val="32"/>
        </w:rPr>
        <w:t>[</w:t>
      </w:r>
      <w:r>
        <w:rPr>
          <w:rFonts w:ascii="仿宋_GB2312" w:hAnsi="仿宋_GB2312" w:eastAsia="仿宋_GB2312"/>
          <w:sz w:val="32"/>
          <w:szCs w:val="32"/>
        </w:rPr>
        <w:t>2018</w:t>
      </w:r>
      <w:r>
        <w:rPr>
          <w:rFonts w:hint="eastAsia" w:ascii="仿宋_GB2312" w:hAnsi="仿宋_GB2312" w:eastAsia="仿宋_GB2312"/>
          <w:sz w:val="32"/>
          <w:szCs w:val="32"/>
        </w:rPr>
        <w:t>]</w:t>
      </w:r>
      <w:r>
        <w:rPr>
          <w:rFonts w:ascii="仿宋_GB2312" w:hAnsi="仿宋_GB2312" w:eastAsia="仿宋_GB2312"/>
          <w:sz w:val="32"/>
          <w:szCs w:val="32"/>
        </w:rPr>
        <w:t>209</w:t>
      </w:r>
      <w:r>
        <w:rPr>
          <w:rFonts w:hint="eastAsia" w:ascii="仿宋_GB2312" w:hAnsi="仿宋_GB2312" w:eastAsia="仿宋_GB2312"/>
          <w:sz w:val="32"/>
          <w:szCs w:val="32"/>
        </w:rPr>
        <w:t>号</w:t>
      </w:r>
      <w:r>
        <w:rPr>
          <w:rFonts w:hint="eastAsia" w:ascii="仿宋_GB2312" w:eastAsia="仿宋_GB2312"/>
          <w:sz w:val="32"/>
          <w:szCs w:val="32"/>
        </w:rPr>
        <w:t>）等法律法规和文件规定，我县对2</w:t>
      </w:r>
      <w:r>
        <w:rPr>
          <w:rFonts w:ascii="仿宋_GB2312" w:eastAsia="仿宋_GB2312"/>
          <w:sz w:val="32"/>
          <w:szCs w:val="32"/>
        </w:rPr>
        <w:t>0129</w:t>
      </w:r>
      <w:r>
        <w:rPr>
          <w:rFonts w:hint="eastAsia" w:ascii="仿宋_GB2312" w:eastAsia="仿宋_GB2312"/>
          <w:sz w:val="32"/>
          <w:szCs w:val="32"/>
        </w:rPr>
        <w:t>年财政总决算进行公开，现将有关情况说明如下：</w:t>
      </w:r>
    </w:p>
    <w:p>
      <w:pPr>
        <w:autoSpaceDE w:val="0"/>
        <w:autoSpaceDN w:val="0"/>
        <w:adjustRightInd w:val="0"/>
        <w:spacing w:line="600" w:lineRule="exact"/>
        <w:ind w:firstLine="640" w:firstLineChars="200"/>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一、2</w:t>
      </w:r>
      <w:r>
        <w:rPr>
          <w:rFonts w:ascii="仿宋_GB2312" w:hAnsi="华文仿宋" w:eastAsia="仿宋_GB2312" w:cs="宋体"/>
          <w:color w:val="000000"/>
          <w:kern w:val="0"/>
          <w:sz w:val="32"/>
          <w:szCs w:val="32"/>
        </w:rPr>
        <w:t>019</w:t>
      </w:r>
      <w:r>
        <w:rPr>
          <w:rFonts w:hint="eastAsia" w:ascii="仿宋_GB2312" w:hAnsi="华文仿宋" w:eastAsia="仿宋_GB2312" w:cs="宋体"/>
          <w:color w:val="000000"/>
          <w:kern w:val="0"/>
          <w:sz w:val="32"/>
          <w:szCs w:val="32"/>
        </w:rPr>
        <w:t>年财政收支执行情况</w:t>
      </w:r>
    </w:p>
    <w:p>
      <w:pPr>
        <w:autoSpaceDE w:val="0"/>
        <w:autoSpaceDN w:val="0"/>
        <w:adjustRightInd w:val="0"/>
        <w:spacing w:line="600" w:lineRule="exact"/>
        <w:ind w:firstLine="640" w:firstLineChars="200"/>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全年收入总计</w:t>
      </w:r>
      <w:r>
        <w:rPr>
          <w:rFonts w:hint="eastAsia" w:ascii="仿宋_GB2312" w:hAnsi="华文仿宋" w:eastAsia="仿宋_GB2312" w:cs="Times New Roman"/>
          <w:color w:val="000000"/>
          <w:sz w:val="32"/>
          <w:szCs w:val="32"/>
        </w:rPr>
        <w:t>232845</w:t>
      </w:r>
      <w:r>
        <w:rPr>
          <w:rFonts w:hint="eastAsia" w:ascii="仿宋_GB2312" w:hAnsi="华文仿宋" w:eastAsia="仿宋_GB2312" w:cs="宋体"/>
          <w:color w:val="000000"/>
          <w:kern w:val="0"/>
          <w:sz w:val="32"/>
          <w:szCs w:val="32"/>
        </w:rPr>
        <w:t>万元。其中，一般公共预算收入</w:t>
      </w:r>
      <w:r>
        <w:rPr>
          <w:rFonts w:hint="eastAsia" w:ascii="仿宋_GB2312" w:hAnsi="华文仿宋" w:eastAsia="仿宋_GB2312" w:cs="Times New Roman"/>
          <w:color w:val="000000"/>
          <w:sz w:val="32"/>
          <w:szCs w:val="32"/>
        </w:rPr>
        <w:t>49566</w:t>
      </w:r>
      <w:r>
        <w:rPr>
          <w:rFonts w:hint="eastAsia" w:ascii="仿宋_GB2312" w:hAnsi="Times New Roman" w:eastAsia="仿宋_GB2312" w:cs="Times New Roman"/>
          <w:color w:val="000000"/>
          <w:sz w:val="32"/>
          <w:szCs w:val="32"/>
        </w:rPr>
        <w:t>万元，返还性收入</w:t>
      </w:r>
      <w:r>
        <w:rPr>
          <w:rFonts w:hint="eastAsia" w:ascii="仿宋_GB2312" w:hAnsi="华文仿宋" w:eastAsia="仿宋_GB2312" w:cs="Times New Roman"/>
          <w:color w:val="000000"/>
          <w:sz w:val="32"/>
          <w:szCs w:val="32"/>
        </w:rPr>
        <w:t>467</w:t>
      </w:r>
      <w:r>
        <w:rPr>
          <w:rFonts w:hint="eastAsia" w:ascii="仿宋_GB2312" w:hAnsi="Times New Roman" w:eastAsia="仿宋_GB2312" w:cs="Times New Roman"/>
          <w:color w:val="000000"/>
          <w:sz w:val="32"/>
          <w:szCs w:val="32"/>
        </w:rPr>
        <w:t>万元，一般性转移支付收入</w:t>
      </w:r>
      <w:r>
        <w:rPr>
          <w:rFonts w:hint="eastAsia" w:ascii="仿宋_GB2312" w:hAnsi="华文仿宋" w:eastAsia="仿宋_GB2312" w:cs="Times New Roman"/>
          <w:color w:val="000000"/>
          <w:sz w:val="32"/>
          <w:szCs w:val="32"/>
        </w:rPr>
        <w:t>112277</w:t>
      </w:r>
      <w:r>
        <w:rPr>
          <w:rFonts w:hint="eastAsia" w:ascii="仿宋_GB2312" w:hAnsi="Times New Roman" w:eastAsia="仿宋_GB2312" w:cs="Times New Roman"/>
          <w:color w:val="000000"/>
          <w:sz w:val="32"/>
          <w:szCs w:val="32"/>
        </w:rPr>
        <w:t>万元，专项转移支付收入</w:t>
      </w:r>
      <w:r>
        <w:rPr>
          <w:rFonts w:hint="eastAsia" w:ascii="仿宋_GB2312" w:hAnsi="华文仿宋" w:eastAsia="仿宋_GB2312" w:cs="Times New Roman"/>
          <w:color w:val="000000"/>
          <w:sz w:val="32"/>
          <w:szCs w:val="32"/>
        </w:rPr>
        <w:t>25279</w:t>
      </w:r>
      <w:r>
        <w:rPr>
          <w:rFonts w:hint="eastAsia" w:ascii="仿宋_GB2312" w:hAnsi="Times New Roman" w:eastAsia="仿宋_GB2312" w:cs="Times New Roman"/>
          <w:color w:val="000000"/>
          <w:sz w:val="32"/>
          <w:szCs w:val="32"/>
        </w:rPr>
        <w:t>万元，债务转贷收入</w:t>
      </w:r>
      <w:r>
        <w:rPr>
          <w:rFonts w:hint="eastAsia" w:ascii="仿宋_GB2312" w:hAnsi="华文仿宋" w:eastAsia="仿宋_GB2312" w:cs="Times New Roman"/>
          <w:color w:val="000000"/>
          <w:sz w:val="32"/>
          <w:szCs w:val="32"/>
        </w:rPr>
        <w:t>16036</w:t>
      </w:r>
      <w:r>
        <w:rPr>
          <w:rFonts w:hint="eastAsia" w:ascii="仿宋_GB2312" w:hAnsi="Times New Roman" w:eastAsia="仿宋_GB2312" w:cs="Times New Roman"/>
          <w:color w:val="000000"/>
          <w:sz w:val="32"/>
          <w:szCs w:val="32"/>
        </w:rPr>
        <w:t>万元，上年结转收入</w:t>
      </w:r>
      <w:r>
        <w:rPr>
          <w:rFonts w:hint="eastAsia" w:ascii="仿宋_GB2312" w:hAnsi="华文仿宋" w:eastAsia="仿宋_GB2312" w:cs="Times New Roman"/>
          <w:color w:val="000000"/>
          <w:sz w:val="32"/>
          <w:szCs w:val="32"/>
        </w:rPr>
        <w:t>17332</w:t>
      </w:r>
      <w:r>
        <w:rPr>
          <w:rFonts w:hint="eastAsia" w:ascii="仿宋_GB2312" w:hAnsi="Times New Roman" w:eastAsia="仿宋_GB2312" w:cs="Times New Roman"/>
          <w:color w:val="000000"/>
          <w:sz w:val="32"/>
          <w:szCs w:val="32"/>
        </w:rPr>
        <w:t>万元，调入资金</w:t>
      </w:r>
      <w:r>
        <w:rPr>
          <w:rFonts w:hint="eastAsia" w:ascii="仿宋_GB2312" w:hAnsi="华文仿宋" w:eastAsia="仿宋_GB2312" w:cs="Times New Roman"/>
          <w:color w:val="000000"/>
          <w:sz w:val="32"/>
          <w:szCs w:val="32"/>
        </w:rPr>
        <w:t>271</w:t>
      </w:r>
      <w:r>
        <w:rPr>
          <w:rFonts w:hint="eastAsia" w:ascii="仿宋_GB2312" w:hAnsi="Times New Roman" w:eastAsia="仿宋_GB2312" w:cs="Times New Roman"/>
          <w:color w:val="000000"/>
          <w:sz w:val="32"/>
          <w:szCs w:val="32"/>
        </w:rPr>
        <w:t>万元（</w:t>
      </w:r>
      <w:r>
        <w:rPr>
          <w:rFonts w:hint="eastAsia" w:ascii="仿宋_GB2312" w:hAnsi="华文仿宋" w:eastAsia="仿宋_GB2312" w:cs="Times New Roman"/>
          <w:color w:val="000000"/>
          <w:sz w:val="32"/>
          <w:szCs w:val="32"/>
        </w:rPr>
        <w:t>政府性基金调入</w:t>
      </w:r>
      <w:r>
        <w:rPr>
          <w:rFonts w:hint="eastAsia" w:ascii="仿宋_GB2312" w:hAnsi="Times New Roman" w:eastAsia="仿宋_GB2312" w:cs="Times New Roman"/>
          <w:color w:val="000000"/>
          <w:sz w:val="32"/>
          <w:szCs w:val="32"/>
        </w:rPr>
        <w:t>），</w:t>
      </w:r>
      <w:r>
        <w:rPr>
          <w:rFonts w:hint="eastAsia" w:ascii="仿宋_GB2312" w:hAnsi="华文仿宋" w:eastAsia="仿宋_GB2312" w:cs="Times New Roman"/>
          <w:color w:val="000000"/>
          <w:sz w:val="32"/>
          <w:szCs w:val="32"/>
        </w:rPr>
        <w:t>动用预算稳定调节基金11617万元</w:t>
      </w:r>
      <w:r>
        <w:rPr>
          <w:rFonts w:hint="eastAsia" w:ascii="仿宋_GB2312" w:hAnsi="华文仿宋" w:eastAsia="仿宋_GB2312" w:cs="宋体"/>
          <w:color w:val="000000"/>
          <w:kern w:val="0"/>
          <w:sz w:val="32"/>
          <w:szCs w:val="32"/>
        </w:rPr>
        <w:t>。</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宋体"/>
          <w:color w:val="000000"/>
          <w:kern w:val="0"/>
          <w:sz w:val="32"/>
          <w:szCs w:val="32"/>
        </w:rPr>
        <w:t>全年支出总计232845万元。其中，一般公共预算</w:t>
      </w:r>
      <w:r>
        <w:rPr>
          <w:rFonts w:hint="eastAsia" w:ascii="仿宋_GB2312" w:hAnsi="华文仿宋" w:eastAsia="仿宋_GB2312" w:cs="Times New Roman"/>
          <w:color w:val="000000"/>
          <w:sz w:val="32"/>
          <w:szCs w:val="32"/>
        </w:rPr>
        <w:t>支出196056万元，上解上级支出1216万元，债务还本支出10299万元，补充预算稳定调节基金8062万元。收支相抵，年终滚存结余17212万元，全部结转下年支出，当年预算实现了收支平衡。</w:t>
      </w:r>
      <w:r>
        <w:rPr>
          <w:rFonts w:ascii="仿宋_GB2312" w:hAnsi="华文仿宋" w:eastAsia="仿宋_GB2312" w:cs="Times New Roman"/>
          <w:color w:val="000000"/>
          <w:sz w:val="32"/>
          <w:szCs w:val="32"/>
        </w:rPr>
        <w:t xml:space="preserve">  </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二、2</w:t>
      </w:r>
      <w:r>
        <w:rPr>
          <w:rFonts w:ascii="仿宋_GB2312" w:hAnsi="华文仿宋" w:eastAsia="仿宋_GB2312" w:cs="Times New Roman"/>
          <w:color w:val="000000"/>
          <w:sz w:val="32"/>
          <w:szCs w:val="32"/>
        </w:rPr>
        <w:t>019</w:t>
      </w:r>
      <w:r>
        <w:rPr>
          <w:rFonts w:hint="eastAsia" w:ascii="仿宋_GB2312" w:hAnsi="华文仿宋" w:eastAsia="仿宋_GB2312" w:cs="Times New Roman"/>
          <w:color w:val="000000"/>
          <w:sz w:val="32"/>
          <w:szCs w:val="32"/>
        </w:rPr>
        <w:t>年转移支付收支执行情况</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一般性转移支付收入112,277</w:t>
      </w:r>
      <w:r>
        <w:rPr>
          <w:rFonts w:hint="eastAsia" w:ascii="仿宋_GB2312" w:hAnsi="华文仿宋" w:eastAsia="仿宋_GB2312" w:cs="Times New Roman"/>
          <w:color w:val="000000"/>
          <w:sz w:val="32"/>
          <w:szCs w:val="32"/>
        </w:rPr>
        <w:t>万元，其中</w:t>
      </w:r>
      <w:r>
        <w:rPr>
          <w:rFonts w:ascii="仿宋_GB2312" w:hAnsi="华文仿宋" w:eastAsia="仿宋_GB2312" w:cs="Times New Roman"/>
          <w:color w:val="000000"/>
          <w:sz w:val="32"/>
          <w:szCs w:val="32"/>
        </w:rPr>
        <w:t>:体制补助收入470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均衡性转移支付收入45,819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县级基本财力保障机制奖补资金收入4,688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结算补助收入2,511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资源枯竭型城市转移支付补助收入</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751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成品油税费改革转移支付补助收入148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基层公检法司转移支付收入7</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城乡义务教育转移支付收入718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基本养老金转移支付收入4,790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农村综合改革转移支付收入2,822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产粮(油)大县奖励资金收入1,164</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重点生态功能区转移支付收入285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固定数额补助收入11,460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革命老区转移支付收入959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贫困地区转移支付收入7,571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公共安全共同财政事权转移支付收入864</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教育共同财政事权转移支付收入4,523</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文化旅游体育与传媒共同财政事权转移支付收入1,481</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社会保障和就业共同财政事权转移支付收入6,022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卫生健康共同财政事权转移支付收入2,729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节能环保共同财政事权转移支付收入543</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农林水共同财政事权转移支付收入4,345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交通运输共同财政事权转移支付收入4,202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住房保障共同财政事权转移支付收入1,764</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其他共同财政事权转移支付收入806</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其他一般性转移支付收入</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835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专项转移支付收入25,279</w:t>
      </w:r>
      <w:r>
        <w:rPr>
          <w:rFonts w:hint="eastAsia" w:ascii="仿宋_GB2312" w:hAnsi="华文仿宋" w:eastAsia="仿宋_GB2312" w:cs="Times New Roman"/>
          <w:color w:val="000000"/>
          <w:sz w:val="32"/>
          <w:szCs w:val="32"/>
        </w:rPr>
        <w:t>万元。其中：</w:t>
      </w:r>
      <w:r>
        <w:rPr>
          <w:rFonts w:ascii="仿宋_GB2312" w:hAnsi="华文仿宋" w:eastAsia="仿宋_GB2312" w:cs="Times New Roman"/>
          <w:color w:val="000000"/>
          <w:sz w:val="32"/>
          <w:szCs w:val="32"/>
        </w:rPr>
        <w:t>一般公共服务297</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国防</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100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公共安全418</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教育225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文化旅游体育与传媒</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1,382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社会保障和就业1,391</w:t>
      </w:r>
      <w:r>
        <w:rPr>
          <w:rFonts w:hint="eastAsia" w:ascii="仿宋_GB2312" w:hAnsi="华文仿宋" w:eastAsia="仿宋_GB2312" w:cs="Times New Roman"/>
          <w:color w:val="000000"/>
          <w:sz w:val="32"/>
          <w:szCs w:val="32"/>
        </w:rPr>
        <w:t>万元，</w:t>
      </w:r>
    </w:p>
    <w:p>
      <w:pPr>
        <w:autoSpaceDE w:val="0"/>
        <w:autoSpaceDN w:val="0"/>
        <w:adjustRightInd w:val="0"/>
        <w:spacing w:line="600" w:lineRule="exact"/>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卫生健康480</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节能环保4,725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农林水11,659</w:t>
      </w:r>
      <w:r>
        <w:rPr>
          <w:rFonts w:hint="eastAsia" w:ascii="仿宋_GB2312" w:hAnsi="华文仿宋" w:eastAsia="仿宋_GB2312" w:cs="Times New Roman"/>
          <w:color w:val="000000"/>
          <w:sz w:val="32"/>
          <w:szCs w:val="32"/>
        </w:rPr>
        <w:t>万元，</w:t>
      </w:r>
    </w:p>
    <w:p>
      <w:pPr>
        <w:autoSpaceDE w:val="0"/>
        <w:autoSpaceDN w:val="0"/>
        <w:adjustRightInd w:val="0"/>
        <w:spacing w:line="600" w:lineRule="exact"/>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交通运输2,359</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资源勘探信息等82</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商业服务业等1,503</w:t>
      </w:r>
      <w:r>
        <w:rPr>
          <w:rFonts w:hint="eastAsia" w:ascii="仿宋_GB2312" w:hAnsi="华文仿宋" w:eastAsia="仿宋_GB2312" w:cs="Times New Roman"/>
          <w:color w:val="000000"/>
          <w:sz w:val="32"/>
          <w:szCs w:val="32"/>
        </w:rPr>
        <w:t>万元，住房保障5</w:t>
      </w:r>
      <w:r>
        <w:rPr>
          <w:rFonts w:ascii="仿宋_GB2312" w:hAnsi="华文仿宋" w:eastAsia="仿宋_GB2312" w:cs="Times New Roman"/>
          <w:color w:val="000000"/>
          <w:sz w:val="32"/>
          <w:szCs w:val="32"/>
        </w:rPr>
        <w:t>25</w:t>
      </w:r>
      <w:r>
        <w:rPr>
          <w:rFonts w:hint="eastAsia" w:ascii="仿宋_GB2312" w:hAnsi="华文仿宋" w:eastAsia="仿宋_GB2312" w:cs="Times New Roman"/>
          <w:color w:val="000000"/>
          <w:sz w:val="32"/>
          <w:szCs w:val="32"/>
        </w:rPr>
        <w:t>万元，</w:t>
      </w:r>
      <w:r>
        <w:rPr>
          <w:rFonts w:ascii="仿宋_GB2312" w:hAnsi="华文仿宋" w:eastAsia="仿宋_GB2312" w:cs="Times New Roman"/>
          <w:color w:val="000000"/>
          <w:sz w:val="32"/>
          <w:szCs w:val="32"/>
        </w:rPr>
        <w:t>其他收入</w:t>
      </w:r>
      <w:r>
        <w:rPr>
          <w:rFonts w:ascii="仿宋_GB2312" w:hAnsi="华文仿宋" w:eastAsia="仿宋_GB2312" w:cs="Times New Roman"/>
          <w:color w:val="000000"/>
          <w:sz w:val="32"/>
          <w:szCs w:val="32"/>
        </w:rPr>
        <w:tab/>
      </w:r>
      <w:r>
        <w:rPr>
          <w:rFonts w:ascii="仿宋_GB2312" w:hAnsi="华文仿宋" w:eastAsia="仿宋_GB2312" w:cs="Times New Roman"/>
          <w:color w:val="000000"/>
          <w:sz w:val="32"/>
          <w:szCs w:val="32"/>
        </w:rPr>
        <w:t>133</w:t>
      </w:r>
      <w:r>
        <w:rPr>
          <w:rFonts w:hint="eastAsia" w:ascii="仿宋_GB2312" w:hAnsi="华文仿宋" w:eastAsia="仿宋_GB2312" w:cs="Times New Roman"/>
          <w:color w:val="000000"/>
          <w:sz w:val="32"/>
          <w:szCs w:val="32"/>
        </w:rPr>
        <w:t>万元。专项转移支付及一般性转移支付资金中具有专项用途的资金已按具体用途安排用于相关民生领域，财力性转移支付补助资金用于弥补县级财力缺口，用于发放工资及民生配套。</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三、2</w:t>
      </w:r>
      <w:r>
        <w:rPr>
          <w:rFonts w:ascii="仿宋_GB2312" w:hAnsi="华文仿宋" w:eastAsia="仿宋_GB2312" w:cs="Times New Roman"/>
          <w:color w:val="000000"/>
          <w:sz w:val="32"/>
          <w:szCs w:val="32"/>
        </w:rPr>
        <w:t>019</w:t>
      </w:r>
      <w:r>
        <w:rPr>
          <w:rFonts w:hint="eastAsia" w:ascii="仿宋_GB2312" w:hAnsi="华文仿宋" w:eastAsia="仿宋_GB2312" w:cs="Times New Roman"/>
          <w:color w:val="000000"/>
          <w:sz w:val="32"/>
          <w:szCs w:val="32"/>
        </w:rPr>
        <w:t>年举借政府债务情况说明</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经市政府、市人大常委会批准，市财政局核定我县</w:t>
      </w:r>
      <w:r>
        <w:rPr>
          <w:rFonts w:ascii="仿宋_GB2312" w:hAnsi="华文仿宋" w:eastAsia="仿宋_GB2312" w:cs="Times New Roman"/>
          <w:color w:val="000000"/>
          <w:sz w:val="32"/>
          <w:szCs w:val="32"/>
        </w:rPr>
        <w:t>2019年末政府债务限额66748.11万元，其中：一般债务限额50837万元，专项债务限额15911.11万元。截至2019年底，全县政府债务余额62732.79万元，其中：一般债务余额47532.79万元，专项债务余额15200万元。全县债务余额控制在市核定的政府债务限额之内。</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市转贷我县政府债券21836万元，其中：再融资债券12800万元，新增债券9036万元。按债券类型分，一般债券16036万元，专项债券5800万元。再融资债券资金用于红色旅游公路、土地收储项目支出；新增债券资金用于太焦高铁、主城区和中心城区棚户区改造、易地扶贫搬迁项目支出。</w:t>
      </w:r>
    </w:p>
    <w:p>
      <w:pPr>
        <w:autoSpaceDE w:val="0"/>
        <w:autoSpaceDN w:val="0"/>
        <w:adjustRightInd w:val="0"/>
        <w:spacing w:line="600" w:lineRule="exact"/>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2019年全县按期归还到期政府债券本金299.34万元，支付利息1755.95万元。</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四、</w:t>
      </w:r>
      <w:r>
        <w:rPr>
          <w:rFonts w:ascii="仿宋_GB2312" w:hAnsi="华文仿宋" w:eastAsia="仿宋_GB2312" w:cs="Times New Roman"/>
          <w:color w:val="000000"/>
          <w:sz w:val="32"/>
          <w:szCs w:val="32"/>
        </w:rPr>
        <w:t>“三公经费”决算执行情况</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2019年我县“三公经费”决算数592.61万元，其中公务用车及购置费用369.58万元（全部为公务用车运行维护费），公务接待费223.03万元，无因公出国（境）费。</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五、</w:t>
      </w:r>
      <w:r>
        <w:rPr>
          <w:rFonts w:ascii="仿宋_GB2312" w:hAnsi="华文仿宋" w:eastAsia="仿宋_GB2312" w:cs="Times New Roman"/>
          <w:color w:val="000000"/>
          <w:sz w:val="32"/>
          <w:szCs w:val="32"/>
        </w:rPr>
        <w:t>预算绩效</w:t>
      </w:r>
      <w:r>
        <w:rPr>
          <w:rFonts w:hint="eastAsia" w:ascii="仿宋_GB2312" w:hAnsi="华文仿宋" w:eastAsia="仿宋_GB2312" w:cs="Times New Roman"/>
          <w:color w:val="000000"/>
          <w:sz w:val="32"/>
          <w:szCs w:val="32"/>
        </w:rPr>
        <w:t>工作开展</w:t>
      </w:r>
      <w:r>
        <w:rPr>
          <w:rFonts w:ascii="仿宋_GB2312" w:hAnsi="华文仿宋" w:eastAsia="仿宋_GB2312" w:cs="Times New Roman"/>
          <w:color w:val="000000"/>
          <w:sz w:val="32"/>
          <w:szCs w:val="32"/>
        </w:rPr>
        <w:t>情况</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2019年，我县围绕绩效工作重点，突出脱贫攻坚，照省、市关于预算绩效管理的工作要求和部署，我县高度重视，统一部署，分步实施，积极协调，努力推进，全县预算绩效管理工作有序开展。</w:t>
      </w:r>
    </w:p>
    <w:p>
      <w:pPr>
        <w:autoSpaceDE w:val="0"/>
        <w:autoSpaceDN w:val="0"/>
        <w:adjustRightInd w:val="0"/>
        <w:spacing w:line="600" w:lineRule="exact"/>
        <w:ind w:firstLine="640" w:firstLineChars="200"/>
        <w:rPr>
          <w:rFonts w:ascii="仿宋_GB2312" w:hAnsi="华文仿宋" w:eastAsia="仿宋_GB2312" w:cs="Times New Roman"/>
          <w:color w:val="000000"/>
          <w:sz w:val="32"/>
          <w:szCs w:val="32"/>
        </w:rPr>
      </w:pPr>
      <w:r>
        <w:rPr>
          <w:rFonts w:ascii="仿宋_GB2312" w:hAnsi="华文仿宋" w:eastAsia="仿宋_GB2312" w:cs="Times New Roman"/>
          <w:color w:val="000000"/>
          <w:sz w:val="32"/>
          <w:szCs w:val="32"/>
        </w:rPr>
        <w:t>2019年全县共录入扶贫绩效目标项目57个，金额29136万元。绩效指标填报比例，审核比例双百分百，圆满完成上级任务。另外，按照“谁申请资金，谁申报目标；谁分配资金。谁审核目标”的绩效管理原则，2019年我县项目资金绩效目标申报审核基本实现全覆盖，全年涉及金额60792万元。2019年3月，遵照上级财政部门工作要求，我县对2018年扶贫资金动态监控系统中项目全部进行了绩效自评工作，并按时录入上报，全县共录入扶贫绩效目标项目51个，金额49773万元。根据县</w:t>
      </w:r>
      <w:r>
        <w:rPr>
          <w:rFonts w:hint="eastAsia" w:ascii="仿宋_GB2312" w:hAnsi="华文仿宋" w:eastAsia="仿宋_GB2312" w:cs="Times New Roman"/>
          <w:color w:val="000000"/>
          <w:sz w:val="32"/>
          <w:szCs w:val="32"/>
          <w:lang w:eastAsia="zh-CN"/>
        </w:rPr>
        <w:t>脱贫</w:t>
      </w:r>
      <w:r>
        <w:rPr>
          <w:rFonts w:ascii="仿宋_GB2312" w:hAnsi="华文仿宋" w:eastAsia="仿宋_GB2312" w:cs="Times New Roman"/>
          <w:color w:val="000000"/>
          <w:sz w:val="32"/>
          <w:szCs w:val="32"/>
        </w:rPr>
        <w:t>攻坚领导组工作要求，针对2017-2018年</w:t>
      </w:r>
      <w:r>
        <w:rPr>
          <w:rFonts w:hint="eastAsia" w:ascii="仿宋_GB2312" w:hAnsi="华文仿宋" w:eastAsia="仿宋_GB2312" w:cs="Times New Roman"/>
          <w:color w:val="000000"/>
          <w:sz w:val="32"/>
          <w:szCs w:val="32"/>
        </w:rPr>
        <w:t>涉及民生领域扶贫资金重大项目，如农村饮水安全工程，四好公路，光伏产业，渗水地膜，贫困村集体经济等</w:t>
      </w:r>
      <w:r>
        <w:rPr>
          <w:rFonts w:ascii="仿宋_GB2312" w:hAnsi="华文仿宋" w:eastAsia="仿宋_GB2312" w:cs="Times New Roman"/>
          <w:color w:val="000000"/>
          <w:sz w:val="32"/>
          <w:szCs w:val="32"/>
        </w:rPr>
        <w:t>12个大项开展重点评价，涉及资金35542.05万元。</w:t>
      </w:r>
    </w:p>
    <w:p>
      <w:pPr>
        <w:autoSpaceDE w:val="0"/>
        <w:autoSpaceDN w:val="0"/>
        <w:adjustRightInd w:val="0"/>
        <w:spacing w:line="600" w:lineRule="exact"/>
        <w:ind w:firstLine="640" w:firstLineChars="200"/>
        <w:rPr>
          <w:rFonts w:hint="eastAsia"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我县在预算绩效管理方面，尤其是在今年的扶贫资金绩效管理中，逐步完善，不断提高，初步构建了广覆盖、多角度的绩效管理体系，取得了一定成效，但与上级工作要求还有一定的距离，我们的工作还有一定的提升空间。</w:t>
      </w:r>
    </w:p>
    <w:p>
      <w:pPr>
        <w:autoSpaceDE w:val="0"/>
        <w:autoSpaceDN w:val="0"/>
        <w:adjustRightInd w:val="0"/>
        <w:spacing w:line="60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宋体">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C8"/>
    <w:rsid w:val="000D226A"/>
    <w:rsid w:val="001237B4"/>
    <w:rsid w:val="002B41DE"/>
    <w:rsid w:val="00431FF8"/>
    <w:rsid w:val="004422B3"/>
    <w:rsid w:val="00454866"/>
    <w:rsid w:val="007C4A0E"/>
    <w:rsid w:val="00905364"/>
    <w:rsid w:val="00BB2BC8"/>
    <w:rsid w:val="00D24E74"/>
    <w:rsid w:val="00D9408E"/>
    <w:rsid w:val="00DA5915"/>
    <w:rsid w:val="00E909E5"/>
    <w:rsid w:val="2A1910A1"/>
    <w:rsid w:val="3530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342</Words>
  <Characters>1956</Characters>
  <Lines>16</Lines>
  <Paragraphs>4</Paragraphs>
  <TotalTime>3</TotalTime>
  <ScaleCrop>false</ScaleCrop>
  <LinksUpToDate>false</LinksUpToDate>
  <CharactersWithSpaces>2294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2021-05-21T10:13:00Z</dcterms:created>
  <dc:creator>ZP</dc:creator>
  <cp:lastModifiedBy>断1396400347</cp:lastModifiedBy>
  <dcterms:modified xsi:type="dcterms:W3CDTF">2021-11-22T09:02:25Z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3030E0872D4E4A02887BF0A9AFC72448</vt:lpwstr>
  </property>
</Properties>
</file>