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sz w:val="24"/>
        </w:rPr>
      </w:pPr>
      <w:r>
        <w:rPr>
          <w:rFonts w:hint="eastAsia" w:ascii="黑体" w:hAnsi="黑体" w:eastAsia="黑体" w:cs="宋体"/>
          <w:sz w:val="24"/>
        </w:rPr>
        <w:t>附件：</w:t>
      </w:r>
      <w:r>
        <w:rPr>
          <w:rFonts w:ascii="黑体" w:hAnsi="黑体" w:eastAsia="黑体" w:cs="宋体"/>
          <w:sz w:val="24"/>
        </w:rPr>
        <w:t xml:space="preserve"> </w:t>
      </w: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1040" w:firstLineChars="200"/>
        <w:jc w:val="center"/>
        <w:rPr>
          <w:rFonts w:ascii="黑体" w:hAnsi="黑体" w:eastAsia="黑体" w:cs="宋体"/>
          <w:sz w:val="52"/>
          <w:szCs w:val="52"/>
        </w:rPr>
      </w:pPr>
      <w:r>
        <w:rPr>
          <w:rFonts w:ascii="黑体" w:hAnsi="黑体" w:eastAsia="黑体" w:cs="宋体"/>
          <w:sz w:val="52"/>
          <w:szCs w:val="52"/>
        </w:rPr>
        <w:t>20</w:t>
      </w:r>
      <w:r>
        <w:rPr>
          <w:rFonts w:hint="eastAsia" w:ascii="黑体" w:hAnsi="黑体" w:eastAsia="黑体" w:cs="宋体"/>
          <w:sz w:val="52"/>
          <w:szCs w:val="52"/>
        </w:rPr>
        <w:t>22年度</w:t>
      </w:r>
    </w:p>
    <w:p>
      <w:pPr>
        <w:ind w:firstLine="1040" w:firstLineChars="200"/>
        <w:jc w:val="center"/>
        <w:rPr>
          <w:rFonts w:ascii="黑体" w:hAnsi="黑体" w:eastAsia="黑体" w:cs="宋体"/>
          <w:sz w:val="52"/>
          <w:szCs w:val="52"/>
        </w:rPr>
      </w:pPr>
      <w:r>
        <w:rPr>
          <w:rFonts w:hint="eastAsia" w:ascii="黑体" w:hAnsi="黑体" w:eastAsia="黑体" w:cs="宋体"/>
          <w:sz w:val="52"/>
          <w:szCs w:val="52"/>
        </w:rPr>
        <w:t>部门(单位)决算公开说明</w:t>
      </w:r>
    </w:p>
    <w:p>
      <w:pPr>
        <w:ind w:firstLine="640" w:firstLineChars="200"/>
        <w:rPr>
          <w:rFonts w:ascii="宋体" w:cs="宋体"/>
          <w:sz w:val="32"/>
          <w:szCs w:val="32"/>
        </w:rPr>
      </w:pPr>
      <w:r>
        <w:rPr>
          <w:rFonts w:ascii="宋体" w:hAnsi="宋体" w:cs="宋体"/>
          <w:sz w:val="32"/>
          <w:szCs w:val="32"/>
        </w:rPr>
        <w:t xml:space="preserve"> </w:t>
      </w: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1920" w:firstLineChars="600"/>
        <w:rPr>
          <w:rFonts w:hint="default" w:ascii="黑体" w:hAnsi="黑体" w:eastAsia="黑体" w:cs="宋体"/>
          <w:sz w:val="32"/>
          <w:szCs w:val="32"/>
          <w:lang w:val="en-US" w:eastAsia="zh-CN"/>
        </w:rPr>
      </w:pPr>
      <w:r>
        <w:rPr>
          <w:rFonts w:hint="eastAsia" w:ascii="黑体" w:hAnsi="黑体" w:eastAsia="黑体" w:cs="宋体"/>
          <w:sz w:val="32"/>
          <w:szCs w:val="32"/>
        </w:rPr>
        <w:t xml:space="preserve">     </w:t>
      </w:r>
      <w:r>
        <w:rPr>
          <w:rFonts w:hint="eastAsia" w:ascii="黑体" w:hAnsi="黑体" w:eastAsia="黑体" w:cs="宋体"/>
          <w:sz w:val="32"/>
          <w:szCs w:val="32"/>
          <w:lang w:val="en-US" w:eastAsia="zh-CN"/>
        </w:rPr>
        <w:t>武乡县防震减灾中心</w:t>
      </w:r>
    </w:p>
    <w:p>
      <w:pPr>
        <w:ind w:firstLine="2880" w:firstLineChars="900"/>
        <w:rPr>
          <w:rFonts w:ascii="黑体" w:hAnsi="黑体" w:eastAsia="黑体" w:cs="宋体"/>
          <w:sz w:val="32"/>
          <w:szCs w:val="32"/>
        </w:rPr>
      </w:pPr>
      <w:r>
        <w:rPr>
          <w:rFonts w:ascii="黑体" w:hAnsi="黑体" w:eastAsia="黑体" w:cs="宋体"/>
          <w:sz w:val="32"/>
          <w:szCs w:val="32"/>
        </w:rPr>
        <w:t>20</w:t>
      </w:r>
      <w:r>
        <w:rPr>
          <w:rFonts w:hint="eastAsia" w:ascii="黑体" w:hAnsi="黑体" w:eastAsia="黑体" w:cs="宋体"/>
          <w:sz w:val="32"/>
          <w:szCs w:val="32"/>
        </w:rPr>
        <w:t>23年</w:t>
      </w:r>
      <w:r>
        <w:rPr>
          <w:rFonts w:hint="eastAsia" w:ascii="黑体" w:hAnsi="黑体" w:eastAsia="黑体" w:cs="宋体"/>
          <w:sz w:val="32"/>
          <w:szCs w:val="32"/>
          <w:lang w:val="en-US" w:eastAsia="zh-CN"/>
        </w:rPr>
        <w:t>07</w:t>
      </w:r>
      <w:r>
        <w:rPr>
          <w:rFonts w:hint="eastAsia" w:ascii="黑体" w:hAnsi="黑体" w:eastAsia="黑体" w:cs="宋体"/>
          <w:sz w:val="32"/>
          <w:szCs w:val="32"/>
        </w:rPr>
        <w:t>月</w:t>
      </w:r>
      <w:r>
        <w:rPr>
          <w:rFonts w:hint="eastAsia" w:ascii="黑体" w:hAnsi="黑体" w:eastAsia="黑体" w:cs="宋体"/>
          <w:sz w:val="32"/>
          <w:szCs w:val="32"/>
          <w:lang w:val="en-US" w:eastAsia="zh-CN"/>
        </w:rPr>
        <w:t>24</w:t>
      </w:r>
      <w:r>
        <w:rPr>
          <w:rFonts w:hint="eastAsia" w:ascii="黑体" w:hAnsi="黑体" w:eastAsia="黑体" w:cs="宋体"/>
          <w:sz w:val="32"/>
          <w:szCs w:val="32"/>
        </w:rPr>
        <w:t>日</w:t>
      </w:r>
    </w:p>
    <w:p>
      <w:pPr>
        <w:ind w:firstLine="640" w:firstLineChars="200"/>
        <w:jc w:val="center"/>
        <w:rPr>
          <w:rFonts w:ascii="宋体" w:cs="宋体"/>
          <w:sz w:val="32"/>
          <w:szCs w:val="32"/>
        </w:rPr>
        <w:sectPr>
          <w:pgSz w:w="11906" w:h="16838"/>
          <w:pgMar w:top="1440" w:right="1800" w:bottom="1440" w:left="1800" w:header="851" w:footer="992" w:gutter="0"/>
          <w:cols w:space="425" w:num="1"/>
          <w:docGrid w:type="lines" w:linePitch="312" w:charSpace="0"/>
        </w:sectPr>
      </w:pPr>
    </w:p>
    <w:p>
      <w:pPr>
        <w:ind w:firstLine="640" w:firstLineChars="200"/>
        <w:jc w:val="center"/>
        <w:rPr>
          <w:rFonts w:ascii="宋体" w:cs="宋体"/>
          <w:sz w:val="32"/>
          <w:szCs w:val="32"/>
        </w:rPr>
      </w:pPr>
    </w:p>
    <w:p>
      <w:pPr>
        <w:ind w:firstLine="640" w:firstLineChars="200"/>
        <w:rPr>
          <w:rFonts w:ascii="黑体" w:hAnsi="黑体" w:eastAsia="黑体" w:cs="宋体"/>
          <w:sz w:val="32"/>
          <w:szCs w:val="32"/>
        </w:rPr>
      </w:pPr>
      <w:r>
        <w:rPr>
          <w:rFonts w:hint="eastAsia" w:ascii="黑体" w:hAnsi="黑体" w:eastAsia="黑体" w:cs="宋体"/>
          <w:sz w:val="32"/>
          <w:szCs w:val="32"/>
        </w:rPr>
        <w:t>第一部分</w:t>
      </w:r>
      <w:r>
        <w:rPr>
          <w:rFonts w:ascii="黑体" w:hAnsi="黑体" w:eastAsia="黑体" w:cs="宋体"/>
          <w:sz w:val="32"/>
          <w:szCs w:val="32"/>
        </w:rPr>
        <w:t xml:space="preserve">  </w:t>
      </w:r>
      <w:r>
        <w:rPr>
          <w:rFonts w:hint="eastAsia" w:ascii="黑体" w:hAnsi="黑体" w:eastAsia="黑体" w:cs="宋体"/>
          <w:sz w:val="32"/>
          <w:szCs w:val="32"/>
        </w:rPr>
        <w:t>概况</w:t>
      </w:r>
    </w:p>
    <w:p>
      <w:pPr>
        <w:ind w:firstLine="640" w:firstLineChars="200"/>
        <w:rPr>
          <w:rFonts w:ascii="楷体" w:hAnsi="楷体" w:eastAsia="楷体" w:cs="宋体"/>
          <w:sz w:val="32"/>
          <w:szCs w:val="32"/>
        </w:rPr>
      </w:pPr>
      <w:r>
        <w:rPr>
          <w:rFonts w:hint="eastAsia" w:ascii="楷体" w:hAnsi="楷体" w:eastAsia="楷体" w:cs="宋体"/>
          <w:sz w:val="32"/>
          <w:szCs w:val="32"/>
        </w:rPr>
        <w:t>一、本部门（单位）职责</w:t>
      </w:r>
    </w:p>
    <w:p>
      <w:pPr>
        <w:ind w:firstLine="640" w:firstLineChars="200"/>
        <w:rPr>
          <w:rFonts w:ascii="仿宋_GB2312" w:hAnsi="仿宋_GB2312" w:eastAsia="仿宋_GB2312" w:cs="仿宋_GB2312"/>
          <w:sz w:val="32"/>
          <w:szCs w:val="32"/>
        </w:rPr>
      </w:pPr>
      <w:r>
        <w:rPr>
          <w:rFonts w:hint="eastAsia" w:ascii="仿宋" w:hAnsi="仿宋" w:eastAsia="仿宋" w:cs="宋体"/>
          <w:sz w:val="32"/>
          <w:szCs w:val="32"/>
        </w:rPr>
        <w:t>（一）</w:t>
      </w:r>
      <w:r>
        <w:rPr>
          <w:rFonts w:hint="eastAsia" w:ascii="仿宋_GB2312" w:hAnsi="仿宋_GB2312" w:eastAsia="仿宋_GB2312" w:cs="仿宋_GB2312"/>
          <w:sz w:val="32"/>
          <w:szCs w:val="32"/>
        </w:rPr>
        <w:t>负责应急管理工作，指导各乡镇、各部门应对安全生产类、自然灾害类等突发事件和综合防灾减灾救灾工作。负责安全生产综合监督管理和工矿商贸行业安全生产监督管理工作。</w:t>
      </w:r>
    </w:p>
    <w:p>
      <w:pPr>
        <w:ind w:firstLine="640" w:firstLineChars="200"/>
        <w:rPr>
          <w:rFonts w:ascii="仿宋_GB2312" w:hAnsi="仿宋_GB2312" w:eastAsia="仿宋_GB2312" w:cs="仿宋_GB2312"/>
          <w:sz w:val="32"/>
          <w:szCs w:val="32"/>
        </w:rPr>
      </w:pP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二</w:t>
      </w:r>
      <w:r>
        <w:rPr>
          <w:rFonts w:hint="eastAsia" w:ascii="仿宋" w:hAnsi="仿宋" w:eastAsia="仿宋" w:cs="宋体"/>
          <w:sz w:val="32"/>
          <w:szCs w:val="32"/>
          <w:lang w:eastAsia="zh-CN"/>
        </w:rPr>
        <w:t>）</w:t>
      </w:r>
      <w:r>
        <w:rPr>
          <w:rFonts w:hint="eastAsia" w:ascii="仿宋_GB2312" w:hAnsi="仿宋_GB2312" w:eastAsia="仿宋_GB2312" w:cs="仿宋_GB2312"/>
          <w:sz w:val="32"/>
          <w:szCs w:val="32"/>
        </w:rPr>
        <w:t>贯彻执行应急管理、安全生产等方针政策和法律法规，参与拟订相关地方标准，组织编制应急体系建设、安全生产和综合防灾减灾规划并监督实施。</w:t>
      </w:r>
    </w:p>
    <w:p>
      <w:pPr>
        <w:ind w:firstLine="640" w:firstLineChars="200"/>
        <w:rPr>
          <w:rFonts w:ascii="仿宋_GB2312" w:hAnsi="仿宋_GB2312" w:eastAsia="仿宋_GB2312" w:cs="仿宋_GB2312"/>
          <w:sz w:val="32"/>
          <w:szCs w:val="32"/>
        </w:rPr>
      </w:pPr>
      <w:r>
        <w:rPr>
          <w:rFonts w:hint="eastAsia" w:ascii="仿宋" w:hAnsi="仿宋" w:eastAsia="仿宋" w:cs="宋体"/>
          <w:sz w:val="32"/>
          <w:szCs w:val="32"/>
        </w:rPr>
        <w:t>（</w:t>
      </w:r>
      <w:r>
        <w:rPr>
          <w:rFonts w:hint="eastAsia" w:ascii="仿宋" w:hAnsi="仿宋" w:eastAsia="仿宋" w:cs="宋体"/>
          <w:sz w:val="32"/>
          <w:szCs w:val="32"/>
          <w:lang w:val="en-US" w:eastAsia="zh-CN"/>
        </w:rPr>
        <w:t>三</w:t>
      </w:r>
      <w:r>
        <w:rPr>
          <w:rFonts w:hint="eastAsia" w:ascii="仿宋" w:hAnsi="仿宋" w:eastAsia="仿宋" w:cs="宋体"/>
          <w:sz w:val="32"/>
          <w:szCs w:val="32"/>
        </w:rPr>
        <w:t>）</w:t>
      </w:r>
      <w:r>
        <w:rPr>
          <w:rFonts w:hint="eastAsia" w:ascii="仿宋_GB2312" w:hAnsi="仿宋_GB2312" w:eastAsia="仿宋_GB2312" w:cs="仿宋_GB2312"/>
          <w:sz w:val="32"/>
          <w:szCs w:val="32"/>
        </w:rPr>
        <w:t>指导应急预案体系建设，建立完善事故灾难和自然灾害分级应对制度，组织编制县级总体应急预案和安全生产类、自然灾害类专项预案，综合协调应急预案衔接工作，组织开展预案演练，推动应急避难设施建设。</w:t>
      </w:r>
    </w:p>
    <w:p>
      <w:pPr>
        <w:ind w:firstLine="640" w:firstLineChars="200"/>
        <w:rPr>
          <w:rFonts w:ascii="仿宋_GB2312" w:hAnsi="仿宋_GB2312" w:eastAsia="仿宋_GB2312" w:cs="仿宋_GB2312"/>
          <w:sz w:val="32"/>
          <w:szCs w:val="32"/>
        </w:rPr>
      </w:pPr>
      <w:r>
        <w:rPr>
          <w:rFonts w:hint="eastAsia" w:ascii="仿宋" w:hAnsi="仿宋" w:eastAsia="仿宋" w:cs="宋体"/>
          <w:sz w:val="32"/>
          <w:szCs w:val="32"/>
        </w:rPr>
        <w:t>（</w:t>
      </w:r>
      <w:r>
        <w:rPr>
          <w:rFonts w:hint="eastAsia" w:ascii="仿宋" w:hAnsi="仿宋" w:eastAsia="仿宋" w:cs="宋体"/>
          <w:sz w:val="32"/>
          <w:szCs w:val="32"/>
          <w:lang w:val="en-US" w:eastAsia="zh-CN"/>
        </w:rPr>
        <w:t>四</w:t>
      </w:r>
      <w:r>
        <w:rPr>
          <w:rFonts w:hint="eastAsia" w:ascii="仿宋" w:hAnsi="仿宋" w:eastAsia="仿宋" w:cs="宋体"/>
          <w:sz w:val="32"/>
          <w:szCs w:val="32"/>
        </w:rPr>
        <w:t>）</w:t>
      </w:r>
      <w:r>
        <w:rPr>
          <w:rFonts w:hint="eastAsia" w:ascii="仿宋_GB2312" w:hAnsi="仿宋_GB2312" w:eastAsia="仿宋_GB2312" w:cs="仿宋_GB2312"/>
          <w:sz w:val="32"/>
          <w:szCs w:val="32"/>
        </w:rPr>
        <w:t>牵头建立统一的应急管理信息系统，负责信息传输渠道的规划和布局，建立监测预警和灾情报告制度，健全自然灾害信息资源获取和共享机制，依法统一发布灾情。</w:t>
      </w:r>
    </w:p>
    <w:p>
      <w:pPr>
        <w:ind w:firstLine="640" w:firstLineChars="200"/>
        <w:rPr>
          <w:rFonts w:ascii="仿宋_GB2312" w:hAnsi="仿宋_GB2312" w:eastAsia="仿宋_GB2312" w:cs="仿宋_GB2312"/>
          <w:sz w:val="32"/>
          <w:szCs w:val="32"/>
        </w:rPr>
      </w:pPr>
      <w:r>
        <w:rPr>
          <w:rFonts w:hint="eastAsia" w:ascii="仿宋" w:hAnsi="仿宋" w:eastAsia="仿宋" w:cs="宋体"/>
          <w:sz w:val="32"/>
          <w:szCs w:val="32"/>
        </w:rPr>
        <w:t>（</w:t>
      </w:r>
      <w:r>
        <w:rPr>
          <w:rFonts w:hint="eastAsia" w:ascii="仿宋" w:hAnsi="仿宋" w:eastAsia="仿宋" w:cs="宋体"/>
          <w:sz w:val="32"/>
          <w:szCs w:val="32"/>
          <w:lang w:val="en-US" w:eastAsia="zh-CN"/>
        </w:rPr>
        <w:t>五</w:t>
      </w:r>
      <w:r>
        <w:rPr>
          <w:rFonts w:hint="eastAsia" w:ascii="仿宋" w:hAnsi="仿宋" w:eastAsia="仿宋" w:cs="宋体"/>
          <w:sz w:val="32"/>
          <w:szCs w:val="32"/>
        </w:rPr>
        <w:t>）</w:t>
      </w:r>
      <w:r>
        <w:rPr>
          <w:rFonts w:hint="eastAsia" w:ascii="仿宋_GB2312" w:hAnsi="仿宋_GB2312" w:eastAsia="仿宋_GB2312" w:cs="仿宋_GB2312"/>
          <w:sz w:val="32"/>
          <w:szCs w:val="32"/>
        </w:rPr>
        <w:t>组织指导协调安全生产类、自然灾害类等突发事件应急救援，承担武乡县应对重大灾害指挥部工作，综合研判突发事件发展态势并提出应对建议，协助县委、县人民政府指定的负责同志组织灾害应急处置工作。</w:t>
      </w:r>
    </w:p>
    <w:p>
      <w:pPr>
        <w:ind w:firstLine="640" w:firstLineChars="200"/>
        <w:rPr>
          <w:rFonts w:ascii="仿宋_GB2312" w:hAnsi="仿宋_GB2312" w:eastAsia="仿宋_GB2312" w:cs="仿宋_GB2312"/>
          <w:sz w:val="32"/>
          <w:szCs w:val="32"/>
        </w:rPr>
      </w:pPr>
      <w:r>
        <w:rPr>
          <w:rFonts w:hint="eastAsia" w:ascii="仿宋" w:hAnsi="仿宋" w:eastAsia="仿宋" w:cs="宋体"/>
          <w:sz w:val="32"/>
          <w:szCs w:val="32"/>
        </w:rPr>
        <w:t>（</w:t>
      </w:r>
      <w:r>
        <w:rPr>
          <w:rFonts w:hint="eastAsia" w:ascii="仿宋" w:hAnsi="仿宋" w:eastAsia="仿宋" w:cs="宋体"/>
          <w:sz w:val="32"/>
          <w:szCs w:val="32"/>
          <w:lang w:val="en-US" w:eastAsia="zh-CN"/>
        </w:rPr>
        <w:t>六</w:t>
      </w:r>
      <w:r>
        <w:rPr>
          <w:rFonts w:hint="eastAsia" w:ascii="仿宋" w:hAnsi="仿宋" w:eastAsia="仿宋" w:cs="宋体"/>
          <w:sz w:val="32"/>
          <w:szCs w:val="32"/>
        </w:rPr>
        <w:t>）</w:t>
      </w:r>
      <w:r>
        <w:rPr>
          <w:rFonts w:hint="eastAsia" w:ascii="仿宋_GB2312" w:hAnsi="仿宋_GB2312" w:eastAsia="仿宋_GB2312" w:cs="仿宋_GB2312"/>
          <w:sz w:val="32"/>
          <w:szCs w:val="32"/>
        </w:rPr>
        <w:t>统一协调指挥各类应急专业队伍，建立应急协调联动机制，推进指挥平台对接，衔接驻县解放军和武警部队参与应急救援工作。</w:t>
      </w:r>
    </w:p>
    <w:p>
      <w:pPr>
        <w:ind w:firstLine="640" w:firstLineChars="200"/>
        <w:rPr>
          <w:rFonts w:ascii="仿宋_GB2312" w:hAnsi="仿宋_GB2312" w:eastAsia="仿宋_GB2312" w:cs="仿宋_GB2312"/>
          <w:sz w:val="32"/>
          <w:szCs w:val="32"/>
        </w:rPr>
      </w:pPr>
      <w:r>
        <w:rPr>
          <w:rFonts w:hint="eastAsia" w:ascii="仿宋" w:hAnsi="仿宋" w:eastAsia="仿宋" w:cs="宋体"/>
          <w:sz w:val="32"/>
          <w:szCs w:val="32"/>
        </w:rPr>
        <w:t>（</w:t>
      </w:r>
      <w:r>
        <w:rPr>
          <w:rFonts w:hint="eastAsia" w:ascii="仿宋" w:hAnsi="仿宋" w:eastAsia="仿宋" w:cs="宋体"/>
          <w:sz w:val="32"/>
          <w:szCs w:val="32"/>
          <w:lang w:val="en-US" w:eastAsia="zh-CN"/>
        </w:rPr>
        <w:t>七</w:t>
      </w:r>
      <w:r>
        <w:rPr>
          <w:rFonts w:hint="eastAsia" w:ascii="仿宋" w:hAnsi="仿宋" w:eastAsia="仿宋" w:cs="宋体"/>
          <w:sz w:val="32"/>
          <w:szCs w:val="32"/>
        </w:rPr>
        <w:t>）</w:t>
      </w:r>
      <w:r>
        <w:rPr>
          <w:rFonts w:hint="eastAsia" w:ascii="仿宋_GB2312" w:hAnsi="仿宋_GB2312" w:eastAsia="仿宋_GB2312" w:cs="仿宋_GB2312"/>
          <w:sz w:val="32"/>
          <w:szCs w:val="32"/>
        </w:rPr>
        <w:t>统筹消防、森林和草原火灾扑救、抗洪抢险、地震和地质灾害救援、生产安全事故救援等专业应急救援力量建设，管理县级应急救援队伍，指导各乡镇及社会应急救援力量建设。</w:t>
      </w:r>
    </w:p>
    <w:p>
      <w:pPr>
        <w:ind w:firstLine="640" w:firstLineChars="200"/>
        <w:rPr>
          <w:rFonts w:ascii="仿宋_GB2312" w:hAnsi="仿宋_GB2312" w:eastAsia="仿宋_GB2312" w:cs="仿宋_GB2312"/>
          <w:sz w:val="32"/>
          <w:szCs w:val="32"/>
        </w:rPr>
      </w:pPr>
      <w:r>
        <w:rPr>
          <w:rFonts w:hint="eastAsia" w:ascii="仿宋" w:hAnsi="仿宋" w:eastAsia="仿宋" w:cs="宋体"/>
          <w:sz w:val="32"/>
          <w:szCs w:val="32"/>
        </w:rPr>
        <w:t>（</w:t>
      </w:r>
      <w:r>
        <w:rPr>
          <w:rFonts w:hint="eastAsia" w:ascii="仿宋" w:hAnsi="仿宋" w:eastAsia="仿宋" w:cs="宋体"/>
          <w:sz w:val="32"/>
          <w:szCs w:val="32"/>
          <w:lang w:val="en-US" w:eastAsia="zh-CN"/>
        </w:rPr>
        <w:t>八</w:t>
      </w:r>
      <w:r>
        <w:rPr>
          <w:rFonts w:hint="eastAsia" w:ascii="仿宋" w:hAnsi="仿宋" w:eastAsia="仿宋" w:cs="宋体"/>
          <w:sz w:val="32"/>
          <w:szCs w:val="32"/>
        </w:rPr>
        <w:t>）</w:t>
      </w:r>
      <w:r>
        <w:rPr>
          <w:rFonts w:hint="eastAsia" w:ascii="仿宋_GB2312" w:hAnsi="仿宋_GB2312" w:eastAsia="仿宋_GB2312" w:cs="仿宋_GB2312"/>
          <w:sz w:val="32"/>
          <w:szCs w:val="32"/>
        </w:rPr>
        <w:t>组织指导消防监督、火灾预防、火灾扑救等工作。</w:t>
      </w:r>
    </w:p>
    <w:p>
      <w:pPr>
        <w:ind w:firstLine="640" w:firstLineChars="200"/>
        <w:rPr>
          <w:rFonts w:ascii="仿宋_GB2312" w:hAnsi="仿宋_GB2312" w:eastAsia="仿宋_GB2312" w:cs="仿宋_GB2312"/>
          <w:sz w:val="32"/>
          <w:szCs w:val="32"/>
        </w:rPr>
      </w:pPr>
      <w:r>
        <w:rPr>
          <w:rFonts w:hint="eastAsia" w:ascii="仿宋" w:hAnsi="仿宋" w:eastAsia="仿宋" w:cs="宋体"/>
          <w:sz w:val="32"/>
          <w:szCs w:val="32"/>
        </w:rPr>
        <w:t>（</w:t>
      </w:r>
      <w:r>
        <w:rPr>
          <w:rFonts w:hint="eastAsia" w:ascii="仿宋" w:hAnsi="仿宋" w:eastAsia="仿宋" w:cs="宋体"/>
          <w:sz w:val="32"/>
          <w:szCs w:val="32"/>
          <w:lang w:val="en-US" w:eastAsia="zh-CN"/>
        </w:rPr>
        <w:t>九</w:t>
      </w:r>
      <w:r>
        <w:rPr>
          <w:rFonts w:hint="eastAsia" w:ascii="仿宋" w:hAnsi="仿宋" w:eastAsia="仿宋" w:cs="宋体"/>
          <w:sz w:val="32"/>
          <w:szCs w:val="32"/>
        </w:rPr>
        <w:t>）</w:t>
      </w:r>
      <w:r>
        <w:rPr>
          <w:rFonts w:hint="eastAsia" w:ascii="仿宋_GB2312" w:hAnsi="仿宋_GB2312" w:eastAsia="仿宋_GB2312" w:cs="仿宋_GB2312"/>
          <w:sz w:val="32"/>
          <w:szCs w:val="32"/>
        </w:rPr>
        <w:t>指导协调森林和草原火灾、水旱灾害、地震和地质灾害等防治工作，负责自然灾害综合监测预警工作，指导开展自然灾害综合风险评估工作。</w:t>
      </w:r>
    </w:p>
    <w:p>
      <w:pPr>
        <w:ind w:firstLine="640" w:firstLineChars="200"/>
        <w:rPr>
          <w:rFonts w:ascii="仿宋_GB2312" w:hAnsi="仿宋_GB2312" w:eastAsia="仿宋_GB2312" w:cs="仿宋_GB2312"/>
          <w:sz w:val="32"/>
          <w:szCs w:val="32"/>
        </w:rPr>
      </w:pPr>
      <w:r>
        <w:rPr>
          <w:rFonts w:hint="eastAsia" w:ascii="仿宋" w:hAnsi="仿宋" w:eastAsia="仿宋" w:cs="宋体"/>
          <w:sz w:val="32"/>
          <w:szCs w:val="32"/>
        </w:rPr>
        <w:t>（</w:t>
      </w:r>
      <w:r>
        <w:rPr>
          <w:rFonts w:hint="eastAsia" w:ascii="仿宋" w:hAnsi="仿宋" w:eastAsia="仿宋" w:cs="宋体"/>
          <w:sz w:val="32"/>
          <w:szCs w:val="32"/>
          <w:lang w:val="en-US" w:eastAsia="zh-CN"/>
        </w:rPr>
        <w:t>十</w:t>
      </w:r>
      <w:r>
        <w:rPr>
          <w:rFonts w:hint="eastAsia" w:ascii="仿宋" w:hAnsi="仿宋" w:eastAsia="仿宋" w:cs="宋体"/>
          <w:sz w:val="32"/>
          <w:szCs w:val="32"/>
        </w:rPr>
        <w:t>）</w:t>
      </w:r>
      <w:r>
        <w:rPr>
          <w:rFonts w:hint="eastAsia" w:ascii="仿宋_GB2312" w:hAnsi="仿宋_GB2312" w:eastAsia="仿宋_GB2312" w:cs="仿宋_GB2312"/>
          <w:sz w:val="32"/>
          <w:szCs w:val="32"/>
        </w:rPr>
        <w:t>组织协调灾害救助工作，组织指导灾情核查、损失评估、救灾捐赠工作，管理、分配中央、省级、市级划拨和县级救灾款物并监督使用。</w:t>
      </w:r>
    </w:p>
    <w:p>
      <w:pPr>
        <w:ind w:firstLine="640" w:firstLineChars="200"/>
        <w:rPr>
          <w:rFonts w:ascii="仿宋_GB2312" w:hAnsi="仿宋_GB2312" w:eastAsia="仿宋_GB2312" w:cs="仿宋_GB2312"/>
          <w:sz w:val="32"/>
          <w:szCs w:val="32"/>
        </w:rPr>
      </w:pPr>
      <w:r>
        <w:rPr>
          <w:rFonts w:hint="eastAsia" w:ascii="仿宋" w:hAnsi="仿宋" w:eastAsia="仿宋" w:cs="宋体"/>
          <w:sz w:val="32"/>
          <w:szCs w:val="32"/>
        </w:rPr>
        <w:t>（</w:t>
      </w:r>
      <w:r>
        <w:rPr>
          <w:rFonts w:hint="eastAsia" w:ascii="仿宋" w:hAnsi="仿宋" w:eastAsia="仿宋" w:cs="宋体"/>
          <w:sz w:val="32"/>
          <w:szCs w:val="32"/>
          <w:lang w:val="en-US" w:eastAsia="zh-CN"/>
        </w:rPr>
        <w:t>十一</w:t>
      </w:r>
      <w:r>
        <w:rPr>
          <w:rFonts w:hint="eastAsia" w:ascii="仿宋" w:hAnsi="仿宋" w:eastAsia="仿宋" w:cs="宋体"/>
          <w:sz w:val="32"/>
          <w:szCs w:val="32"/>
        </w:rPr>
        <w:t>）</w:t>
      </w:r>
      <w:r>
        <w:rPr>
          <w:rFonts w:hint="eastAsia" w:ascii="仿宋_GB2312" w:hAnsi="仿宋_GB2312" w:eastAsia="仿宋_GB2312" w:cs="仿宋_GB2312"/>
          <w:sz w:val="32"/>
          <w:szCs w:val="32"/>
        </w:rPr>
        <w:t>依法行使安全生产综合监督管理职权，指导协调、监督检查县有关部门、单位和各乡镇人民政府安全生产工作，组织开展安全生产巡查、考核工作。</w:t>
      </w:r>
    </w:p>
    <w:p>
      <w:pPr>
        <w:ind w:firstLine="640" w:firstLineChars="200"/>
        <w:rPr>
          <w:rFonts w:ascii="仿宋_GB2312" w:hAnsi="仿宋_GB2312" w:eastAsia="仿宋_GB2312" w:cs="仿宋_GB2312"/>
          <w:sz w:val="32"/>
          <w:szCs w:val="32"/>
        </w:rPr>
      </w:pPr>
      <w:r>
        <w:rPr>
          <w:rFonts w:hint="eastAsia" w:ascii="仿宋" w:hAnsi="仿宋" w:eastAsia="仿宋" w:cs="宋体"/>
          <w:sz w:val="32"/>
          <w:szCs w:val="32"/>
        </w:rPr>
        <w:t>（</w:t>
      </w:r>
      <w:r>
        <w:rPr>
          <w:rFonts w:hint="eastAsia" w:ascii="仿宋" w:hAnsi="仿宋" w:eastAsia="仿宋" w:cs="宋体"/>
          <w:sz w:val="32"/>
          <w:szCs w:val="32"/>
          <w:lang w:val="en-US" w:eastAsia="zh-CN"/>
        </w:rPr>
        <w:t>十二</w:t>
      </w:r>
      <w:r>
        <w:rPr>
          <w:rFonts w:hint="eastAsia" w:ascii="仿宋" w:hAnsi="仿宋" w:eastAsia="仿宋" w:cs="宋体"/>
          <w:sz w:val="32"/>
          <w:szCs w:val="32"/>
        </w:rPr>
        <w:t>）</w:t>
      </w:r>
      <w:r>
        <w:rPr>
          <w:rFonts w:hint="eastAsia" w:ascii="仿宋_GB2312" w:hAnsi="仿宋_GB2312" w:eastAsia="仿宋_GB2312" w:cs="仿宋_GB2312"/>
          <w:sz w:val="32"/>
          <w:szCs w:val="32"/>
        </w:rPr>
        <w:t>按照分级、属地原则，负责监督管理工矿商贸行业企业安全生产工作，落实联合执法制度，承担煤矿、非煤矿山、危险化学品、烟花爆竹、化工、冶金等相关行业安全生产执法工作，依法监督检查工矿商贸生产经营单位贯彻执行安全生产法律法规情况及其安全生产条件和有关设备（特种设备除外）、材料、劳动防护用品的安全生产管理工作，依法查处违法、违规和违章行为。负责煤矿安全监督管理工作。负责县级直接负责的洗（选）煤厂，配煤、型煤加工企业的安全生产监督管理职责。组织实施有关安全监督管理标准。负责危险化学品安全监督管理综合工作和烟花爆竹安全生产监督管理工作。依法组织并指导监督实施安全生产准入制度。</w:t>
      </w:r>
    </w:p>
    <w:p>
      <w:pPr>
        <w:ind w:firstLine="640" w:firstLineChars="200"/>
        <w:rPr>
          <w:rFonts w:ascii="仿宋_GB2312" w:hAnsi="仿宋_GB2312" w:eastAsia="仿宋_GB2312" w:cs="仿宋_GB2312"/>
          <w:sz w:val="32"/>
          <w:szCs w:val="32"/>
        </w:rPr>
      </w:pPr>
      <w:r>
        <w:rPr>
          <w:rFonts w:hint="eastAsia" w:ascii="仿宋" w:hAnsi="仿宋" w:eastAsia="仿宋" w:cs="宋体"/>
          <w:sz w:val="32"/>
          <w:szCs w:val="32"/>
        </w:rPr>
        <w:t>（</w:t>
      </w:r>
      <w:r>
        <w:rPr>
          <w:rFonts w:hint="eastAsia" w:ascii="仿宋" w:hAnsi="仿宋" w:eastAsia="仿宋" w:cs="宋体"/>
          <w:sz w:val="32"/>
          <w:szCs w:val="32"/>
          <w:lang w:val="en-US" w:eastAsia="zh-CN"/>
        </w:rPr>
        <w:t>十三</w:t>
      </w:r>
      <w:r>
        <w:rPr>
          <w:rFonts w:hint="eastAsia" w:ascii="仿宋" w:hAnsi="仿宋" w:eastAsia="仿宋" w:cs="宋体"/>
          <w:sz w:val="32"/>
          <w:szCs w:val="32"/>
        </w:rPr>
        <w:t>）</w:t>
      </w:r>
      <w:r>
        <w:rPr>
          <w:rFonts w:hint="eastAsia" w:ascii="仿宋_GB2312" w:hAnsi="仿宋_GB2312" w:eastAsia="仿宋_GB2312" w:cs="仿宋_GB2312"/>
          <w:sz w:val="32"/>
          <w:szCs w:val="32"/>
        </w:rPr>
        <w:t>依法组织指导生产安全事故调查处理，监督事故查处和责任追究落实情况。组织开展自然灾害类突发事件的调查评估工作。</w:t>
      </w:r>
    </w:p>
    <w:p>
      <w:pPr>
        <w:ind w:firstLine="640" w:firstLineChars="200"/>
        <w:rPr>
          <w:rFonts w:ascii="仿宋_GB2312" w:hAnsi="仿宋_GB2312" w:eastAsia="仿宋_GB2312" w:cs="仿宋_GB2312"/>
          <w:sz w:val="32"/>
          <w:szCs w:val="32"/>
        </w:rPr>
      </w:pPr>
      <w:r>
        <w:rPr>
          <w:rFonts w:hint="eastAsia" w:ascii="仿宋" w:hAnsi="仿宋" w:eastAsia="仿宋" w:cs="宋体"/>
          <w:sz w:val="32"/>
          <w:szCs w:val="32"/>
        </w:rPr>
        <w:t>（</w:t>
      </w:r>
      <w:r>
        <w:rPr>
          <w:rFonts w:hint="eastAsia" w:ascii="仿宋" w:hAnsi="仿宋" w:eastAsia="仿宋" w:cs="宋体"/>
          <w:sz w:val="32"/>
          <w:szCs w:val="32"/>
          <w:lang w:val="en-US" w:eastAsia="zh-CN"/>
        </w:rPr>
        <w:t>十四</w:t>
      </w:r>
      <w:r>
        <w:rPr>
          <w:rFonts w:hint="eastAsia" w:ascii="仿宋" w:hAnsi="仿宋" w:eastAsia="仿宋" w:cs="宋体"/>
          <w:sz w:val="32"/>
          <w:szCs w:val="32"/>
        </w:rPr>
        <w:t>）</w:t>
      </w:r>
      <w:r>
        <w:rPr>
          <w:rFonts w:hint="eastAsia" w:ascii="仿宋_GB2312" w:hAnsi="仿宋_GB2312" w:eastAsia="仿宋_GB2312" w:cs="仿宋_GB2312"/>
          <w:sz w:val="32"/>
          <w:szCs w:val="32"/>
        </w:rPr>
        <w:t>开展应急管理方面的交流与合作，组织参与安全生产类、自然灾害类等突发事件的市、县际之间应急救援合作。</w:t>
      </w:r>
    </w:p>
    <w:p>
      <w:pPr>
        <w:ind w:firstLine="640" w:firstLineChars="200"/>
        <w:rPr>
          <w:rFonts w:ascii="仿宋_GB2312" w:hAnsi="仿宋_GB2312" w:eastAsia="仿宋_GB2312" w:cs="仿宋_GB2312"/>
          <w:sz w:val="32"/>
          <w:szCs w:val="32"/>
        </w:rPr>
      </w:pPr>
      <w:r>
        <w:rPr>
          <w:rFonts w:hint="eastAsia" w:ascii="仿宋" w:hAnsi="仿宋" w:eastAsia="仿宋" w:cs="宋体"/>
          <w:sz w:val="32"/>
          <w:szCs w:val="32"/>
        </w:rPr>
        <w:t>（</w:t>
      </w:r>
      <w:r>
        <w:rPr>
          <w:rFonts w:hint="eastAsia" w:ascii="仿宋" w:hAnsi="仿宋" w:eastAsia="仿宋" w:cs="宋体"/>
          <w:sz w:val="32"/>
          <w:szCs w:val="32"/>
          <w:lang w:val="en-US" w:eastAsia="zh-CN"/>
        </w:rPr>
        <w:t>十五</w:t>
      </w:r>
      <w:r>
        <w:rPr>
          <w:rFonts w:hint="eastAsia" w:ascii="仿宋" w:hAnsi="仿宋" w:eastAsia="仿宋" w:cs="宋体"/>
          <w:sz w:val="32"/>
          <w:szCs w:val="32"/>
        </w:rPr>
        <w:t>）</w:t>
      </w:r>
      <w:r>
        <w:rPr>
          <w:rFonts w:hint="eastAsia" w:ascii="仿宋_GB2312" w:hAnsi="仿宋_GB2312" w:eastAsia="仿宋_GB2312" w:cs="仿宋_GB2312"/>
          <w:sz w:val="32"/>
          <w:szCs w:val="32"/>
        </w:rPr>
        <w:t>制定应急物资储备和应急救援装备规划并组织实施，会同县发展和改革局（县粮食局）等部门建立健全全县应急物资信息平台和调拨制度，在救灾时统一调度。</w:t>
      </w:r>
    </w:p>
    <w:p>
      <w:pPr>
        <w:ind w:firstLine="640" w:firstLineChars="200"/>
        <w:rPr>
          <w:rFonts w:ascii="仿宋_GB2312" w:hAnsi="仿宋_GB2312" w:eastAsia="仿宋_GB2312" w:cs="仿宋_GB2312"/>
          <w:sz w:val="32"/>
          <w:szCs w:val="32"/>
        </w:rPr>
      </w:pPr>
      <w:r>
        <w:rPr>
          <w:rFonts w:hint="eastAsia" w:ascii="仿宋" w:hAnsi="仿宋" w:eastAsia="仿宋" w:cs="宋体"/>
          <w:sz w:val="32"/>
          <w:szCs w:val="32"/>
        </w:rPr>
        <w:t>（</w:t>
      </w:r>
      <w:r>
        <w:rPr>
          <w:rFonts w:hint="eastAsia" w:ascii="仿宋" w:hAnsi="仿宋" w:eastAsia="仿宋" w:cs="宋体"/>
          <w:sz w:val="32"/>
          <w:szCs w:val="32"/>
          <w:lang w:val="en-US" w:eastAsia="zh-CN"/>
        </w:rPr>
        <w:t>十六</w:t>
      </w:r>
      <w:r>
        <w:rPr>
          <w:rFonts w:hint="eastAsia" w:ascii="仿宋" w:hAnsi="仿宋" w:eastAsia="仿宋" w:cs="宋体"/>
          <w:sz w:val="32"/>
          <w:szCs w:val="32"/>
        </w:rPr>
        <w:t>）</w:t>
      </w:r>
      <w:r>
        <w:rPr>
          <w:rFonts w:hint="eastAsia" w:ascii="仿宋_GB2312" w:hAnsi="仿宋_GB2312" w:eastAsia="仿宋_GB2312" w:cs="仿宋_GB2312"/>
          <w:sz w:val="32"/>
          <w:szCs w:val="32"/>
        </w:rPr>
        <w:t>负责应急管理、安全生产宣传教育和培训工作，组织指导应急管理、安全生产的科学技术研究、推广应用和信息化建设工作。</w:t>
      </w:r>
    </w:p>
    <w:p>
      <w:pPr>
        <w:ind w:firstLine="640" w:firstLineChars="200"/>
        <w:rPr>
          <w:rFonts w:ascii="仿宋_GB2312" w:hAnsi="仿宋_GB2312" w:eastAsia="仿宋_GB2312" w:cs="仿宋_GB2312"/>
          <w:sz w:val="32"/>
          <w:szCs w:val="32"/>
        </w:rPr>
      </w:pPr>
      <w:r>
        <w:rPr>
          <w:rFonts w:hint="eastAsia" w:ascii="仿宋" w:hAnsi="仿宋" w:eastAsia="仿宋" w:cs="宋体"/>
          <w:sz w:val="32"/>
          <w:szCs w:val="32"/>
        </w:rPr>
        <w:t>（</w:t>
      </w:r>
      <w:r>
        <w:rPr>
          <w:rFonts w:hint="eastAsia" w:ascii="仿宋" w:hAnsi="仿宋" w:eastAsia="仿宋" w:cs="宋体"/>
          <w:sz w:val="32"/>
          <w:szCs w:val="32"/>
          <w:lang w:val="en-US" w:eastAsia="zh-CN"/>
        </w:rPr>
        <w:t>十七</w:t>
      </w:r>
      <w:r>
        <w:rPr>
          <w:rFonts w:hint="eastAsia" w:ascii="仿宋" w:hAnsi="仿宋" w:eastAsia="仿宋" w:cs="宋体"/>
          <w:sz w:val="32"/>
          <w:szCs w:val="32"/>
        </w:rPr>
        <w:t>）</w:t>
      </w:r>
      <w:r>
        <w:rPr>
          <w:rFonts w:hint="eastAsia" w:ascii="仿宋_GB2312" w:hAnsi="仿宋_GB2312" w:eastAsia="仿宋_GB2312" w:cs="仿宋_GB2312"/>
          <w:sz w:val="32"/>
          <w:szCs w:val="32"/>
        </w:rPr>
        <w:t>完成县委、县人民政府交办的其他任务。</w:t>
      </w:r>
    </w:p>
    <w:p>
      <w:pPr>
        <w:ind w:firstLine="640" w:firstLineChars="200"/>
        <w:rPr>
          <w:rFonts w:ascii="仿宋" w:hAnsi="仿宋" w:eastAsia="仿宋" w:cs="宋体"/>
          <w:sz w:val="32"/>
          <w:szCs w:val="32"/>
        </w:rPr>
      </w:pPr>
      <w:r>
        <w:rPr>
          <w:rFonts w:hint="eastAsia" w:ascii="仿宋" w:hAnsi="仿宋" w:eastAsia="仿宋" w:cs="宋体"/>
          <w:sz w:val="32"/>
          <w:szCs w:val="32"/>
        </w:rPr>
        <w:t>（</w:t>
      </w:r>
      <w:r>
        <w:rPr>
          <w:rFonts w:hint="eastAsia" w:ascii="仿宋" w:hAnsi="仿宋" w:eastAsia="仿宋" w:cs="宋体"/>
          <w:sz w:val="32"/>
          <w:szCs w:val="32"/>
          <w:lang w:val="en-US" w:eastAsia="zh-CN"/>
        </w:rPr>
        <w:t>十八</w:t>
      </w:r>
      <w:r>
        <w:rPr>
          <w:rFonts w:hint="eastAsia" w:ascii="仿宋" w:hAnsi="仿宋" w:eastAsia="仿宋" w:cs="宋体"/>
          <w:sz w:val="32"/>
          <w:szCs w:val="32"/>
        </w:rPr>
        <w:t>）</w:t>
      </w:r>
      <w:r>
        <w:rPr>
          <w:rFonts w:hint="eastAsia" w:ascii="仿宋_GB2312" w:hAnsi="仿宋_GB2312" w:eastAsia="仿宋_GB2312" w:cs="仿宋_GB2312"/>
          <w:sz w:val="32"/>
          <w:szCs w:val="32"/>
        </w:rPr>
        <w:t>职能转变。县应急管理局应加强、优化、统筹全县应急能力建设，构建统一领导、权责一致、权威高效的应急能力体系，推动形成统一指挥、专常兼备、反应灵敏、上下联动、平战结合的应急管理体制。一是坚持以防为主、防抗救结合，坚持常态减灾和非常态救灾相统一，努力实现从注重灾后救助向注重灾前预防转变，从应对单一灾种向综合减灾转变，从减少灾害损失向减轻灾害风险转变，提高应急管理水平和防灾减灾救灾能力，防范化解重特大安全风险。二是坚持以人为本，把确保人民群众生命安全放在首位，确保受灾群众基本生活，加强应急预案演练，增强全民防灾减灾意识，提升公众知识普及和自救互救技能，切实减少人员伤亡和财产损失。三是树立安全发展理念，坚持生命至上、安全第一，完善安全生产责任制，坚决遏制重特大安全事故。</w:t>
      </w:r>
    </w:p>
    <w:p>
      <w:pPr>
        <w:ind w:firstLine="640" w:firstLineChars="200"/>
        <w:rPr>
          <w:rFonts w:ascii="楷体" w:hAnsi="楷体" w:eastAsia="楷体" w:cs="宋体"/>
          <w:sz w:val="32"/>
          <w:szCs w:val="32"/>
        </w:rPr>
      </w:pPr>
      <w:r>
        <w:rPr>
          <w:rFonts w:hint="eastAsia" w:ascii="楷体" w:hAnsi="楷体" w:eastAsia="楷体" w:cs="宋体"/>
          <w:sz w:val="32"/>
          <w:szCs w:val="32"/>
        </w:rPr>
        <w:t>二、机构设置情况</w:t>
      </w:r>
    </w:p>
    <w:p>
      <w:pPr>
        <w:widowControl/>
        <w:spacing w:line="324" w:lineRule="atLeast"/>
        <w:ind w:left="540"/>
        <w:jc w:val="left"/>
        <w:rPr>
          <w:rFonts w:ascii="仿宋" w:hAnsi="仿宋" w:eastAsia="仿宋" w:cs="宋体"/>
          <w:b/>
          <w:color w:val="333333"/>
          <w:kern w:val="0"/>
          <w:sz w:val="18"/>
          <w:szCs w:val="18"/>
        </w:rPr>
      </w:pPr>
      <w:r>
        <w:rPr>
          <w:rFonts w:hint="eastAsia" w:ascii="仿宋" w:hAnsi="仿宋" w:eastAsia="仿宋" w:cs="宋体"/>
          <w:b/>
          <w:color w:val="333333"/>
          <w:kern w:val="0"/>
          <w:sz w:val="32"/>
          <w:szCs w:val="32"/>
        </w:rPr>
        <w:t>（一）部门决算单位构成</w:t>
      </w:r>
    </w:p>
    <w:p>
      <w:pPr>
        <w:widowControl/>
        <w:spacing w:line="324" w:lineRule="atLeast"/>
        <w:ind w:left="540"/>
        <w:jc w:val="left"/>
        <w:rPr>
          <w:rFonts w:ascii="仿宋" w:hAnsi="仿宋" w:eastAsia="仿宋" w:cs="宋体"/>
          <w:b/>
          <w:color w:val="333333"/>
          <w:kern w:val="0"/>
          <w:sz w:val="32"/>
          <w:szCs w:val="32"/>
        </w:rPr>
      </w:pPr>
      <w:r>
        <w:rPr>
          <w:rFonts w:hint="eastAsia" w:ascii="仿宋" w:hAnsi="仿宋" w:eastAsia="仿宋" w:cs="宋体"/>
          <w:b/>
          <w:color w:val="333333"/>
          <w:kern w:val="0"/>
          <w:sz w:val="32"/>
          <w:szCs w:val="32"/>
        </w:rPr>
        <w:t>（二）人员情况说明</w:t>
      </w:r>
    </w:p>
    <w:p>
      <w:pPr>
        <w:widowControl/>
        <w:spacing w:line="324" w:lineRule="atLeast"/>
        <w:ind w:firstLine="537" w:firstLineChars="168"/>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武乡县</w:t>
      </w:r>
      <w:r>
        <w:rPr>
          <w:rFonts w:hint="eastAsia" w:ascii="仿宋" w:hAnsi="仿宋" w:eastAsia="仿宋" w:cs="宋体"/>
          <w:color w:val="333333"/>
          <w:kern w:val="0"/>
          <w:sz w:val="32"/>
          <w:szCs w:val="32"/>
          <w:lang w:val="en-US" w:eastAsia="zh-CN"/>
        </w:rPr>
        <w:t>防震减灾中心</w:t>
      </w:r>
      <w:r>
        <w:rPr>
          <w:rFonts w:hint="eastAsia" w:ascii="仿宋" w:hAnsi="仿宋" w:eastAsia="仿宋" w:cs="宋体"/>
          <w:color w:val="333333"/>
          <w:kern w:val="0"/>
          <w:sz w:val="32"/>
          <w:szCs w:val="32"/>
        </w:rPr>
        <w:t>人员编制共</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lang w:val="en-US" w:eastAsia="zh-CN"/>
        </w:rPr>
        <w:t>8</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人，其中行政人员</w:t>
      </w:r>
      <w:r>
        <w:rPr>
          <w:rFonts w:hint="eastAsia" w:ascii="仿宋" w:hAnsi="仿宋" w:eastAsia="仿宋" w:cs="宋体"/>
          <w:color w:val="333333"/>
          <w:kern w:val="0"/>
          <w:sz w:val="32"/>
          <w:szCs w:val="32"/>
          <w:lang w:val="en-US" w:eastAsia="zh-CN"/>
        </w:rPr>
        <w:t>7</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人，事业人员</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lang w:val="en-US" w:eastAsia="zh-CN"/>
        </w:rPr>
        <w:t>1</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rPr>
        <w:t>人</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含参照公务员法管理人员</w:t>
      </w:r>
      <w:r>
        <w:rPr>
          <w:rFonts w:hint="eastAsia" w:ascii="仿宋" w:hAnsi="仿宋" w:eastAsia="仿宋" w:cs="宋体"/>
          <w:color w:val="333333"/>
          <w:kern w:val="0"/>
          <w:sz w:val="32"/>
          <w:szCs w:val="32"/>
          <w:lang w:val="en-US" w:eastAsia="zh-CN"/>
        </w:rPr>
        <w:t xml:space="preserve"> 7 </w:t>
      </w:r>
      <w:r>
        <w:rPr>
          <w:rFonts w:hint="eastAsia" w:ascii="仿宋" w:hAnsi="仿宋" w:eastAsia="仿宋" w:cs="宋体"/>
          <w:color w:val="333333"/>
          <w:kern w:val="0"/>
          <w:sz w:val="32"/>
          <w:szCs w:val="32"/>
        </w:rPr>
        <w:t>人；财政补助人员</w:t>
      </w:r>
      <w:r>
        <w:rPr>
          <w:rFonts w:ascii="仿宋" w:hAnsi="仿宋" w:eastAsia="仿宋" w:cs="宋体"/>
          <w:color w:val="333333"/>
          <w:kern w:val="0"/>
          <w:sz w:val="32"/>
          <w:szCs w:val="32"/>
        </w:rPr>
        <w:t xml:space="preserve"> </w:t>
      </w:r>
      <w:r>
        <w:rPr>
          <w:rFonts w:hint="eastAsia" w:ascii="仿宋" w:hAnsi="仿宋" w:eastAsia="仿宋" w:cs="宋体"/>
          <w:color w:val="333333"/>
          <w:kern w:val="0"/>
          <w:sz w:val="32"/>
          <w:szCs w:val="32"/>
          <w:lang w:val="en-US" w:eastAsia="zh-CN"/>
        </w:rPr>
        <w:t>1</w:t>
      </w:r>
      <w:r>
        <w:rPr>
          <w:rFonts w:hint="eastAsia" w:ascii="仿宋" w:hAnsi="仿宋" w:eastAsia="仿宋" w:cs="宋体"/>
          <w:color w:val="333333"/>
          <w:kern w:val="0"/>
          <w:sz w:val="32"/>
          <w:szCs w:val="32"/>
        </w:rPr>
        <w:t>人</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w:t>
      </w:r>
    </w:p>
    <w:p>
      <w:pPr>
        <w:widowControl/>
        <w:spacing w:line="324" w:lineRule="atLeast"/>
        <w:ind w:firstLine="537" w:firstLineChars="168"/>
        <w:jc w:val="left"/>
        <w:rPr>
          <w:rFonts w:ascii="仿宋" w:hAnsi="仿宋" w:eastAsia="仿宋" w:cs="宋体"/>
          <w:color w:val="000000"/>
          <w:kern w:val="0"/>
          <w:sz w:val="32"/>
          <w:szCs w:val="32"/>
        </w:rPr>
      </w:pPr>
      <w:r>
        <w:rPr>
          <w:rFonts w:hint="eastAsia" w:ascii="仿宋" w:hAnsi="仿宋" w:eastAsia="仿宋" w:cs="宋体"/>
          <w:color w:val="333333"/>
          <w:kern w:val="0"/>
          <w:sz w:val="32"/>
          <w:szCs w:val="32"/>
        </w:rPr>
        <w:t>武乡县</w:t>
      </w:r>
      <w:r>
        <w:rPr>
          <w:rFonts w:hint="eastAsia" w:ascii="仿宋" w:hAnsi="仿宋" w:eastAsia="仿宋" w:cs="宋体"/>
          <w:color w:val="333333"/>
          <w:kern w:val="0"/>
          <w:sz w:val="32"/>
          <w:szCs w:val="32"/>
          <w:lang w:val="en-US" w:eastAsia="zh-CN"/>
        </w:rPr>
        <w:t>防震减灾中心</w:t>
      </w:r>
      <w:r>
        <w:rPr>
          <w:rFonts w:ascii="仿宋" w:hAnsi="仿宋" w:eastAsia="仿宋" w:cs="宋体"/>
          <w:color w:val="000000"/>
          <w:kern w:val="0"/>
          <w:sz w:val="32"/>
          <w:szCs w:val="32"/>
        </w:rPr>
        <w:t>202</w:t>
      </w:r>
      <w:r>
        <w:rPr>
          <w:rFonts w:hint="eastAsia" w:ascii="仿宋" w:hAnsi="仿宋" w:eastAsia="仿宋" w:cs="宋体"/>
          <w:color w:val="000000"/>
          <w:kern w:val="0"/>
          <w:sz w:val="32"/>
          <w:szCs w:val="32"/>
        </w:rPr>
        <w:t>2年末实有人数共</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val="en-US" w:eastAsia="zh-CN"/>
        </w:rPr>
        <w:t>11</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人，其中在职人员</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val="en-US" w:eastAsia="zh-CN"/>
        </w:rPr>
        <w:t>8</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人，离退休人员</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lang w:val="en-US" w:eastAsia="zh-CN"/>
        </w:rPr>
        <w:t>3</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人。</w:t>
      </w:r>
    </w:p>
    <w:p>
      <w:pPr>
        <w:ind w:firstLine="640" w:firstLineChars="200"/>
        <w:rPr>
          <w:rFonts w:ascii="黑体" w:hAnsi="黑体" w:eastAsia="黑体" w:cs="宋体"/>
          <w:sz w:val="32"/>
          <w:szCs w:val="32"/>
        </w:rPr>
      </w:pPr>
      <w:r>
        <w:rPr>
          <w:rFonts w:hint="eastAsia" w:ascii="黑体" w:hAnsi="黑体" w:eastAsia="黑体" w:cs="宋体"/>
          <w:sz w:val="32"/>
          <w:szCs w:val="32"/>
        </w:rPr>
        <w:t>第二部分</w:t>
      </w:r>
      <w:r>
        <w:rPr>
          <w:rFonts w:ascii="黑体" w:hAnsi="黑体" w:eastAsia="黑体" w:cs="宋体"/>
          <w:sz w:val="32"/>
          <w:szCs w:val="32"/>
        </w:rPr>
        <w:t xml:space="preserve">  202</w:t>
      </w:r>
      <w:r>
        <w:rPr>
          <w:rFonts w:hint="eastAsia" w:ascii="黑体" w:hAnsi="黑体" w:eastAsia="黑体" w:cs="宋体"/>
          <w:sz w:val="32"/>
          <w:szCs w:val="32"/>
        </w:rPr>
        <w:t>2年度部门（单位）决算表</w:t>
      </w:r>
    </w:p>
    <w:p>
      <w:pPr>
        <w:ind w:firstLine="640"/>
        <w:rPr>
          <w:rFonts w:ascii="仿宋" w:hAnsi="仿宋" w:eastAsia="仿宋"/>
          <w:sz w:val="32"/>
        </w:rPr>
      </w:pPr>
      <w:r>
        <w:rPr>
          <w:rFonts w:hint="eastAsia" w:ascii="仿宋" w:hAnsi="仿宋" w:eastAsia="仿宋"/>
          <w:sz w:val="32"/>
        </w:rPr>
        <w:t>一、收入支出决算总表</w:t>
      </w:r>
    </w:p>
    <w:p>
      <w:pPr>
        <w:ind w:left="420" w:hanging="420" w:hangingChars="200"/>
        <w:rPr>
          <w:rFonts w:hint="eastAsia" w:ascii="仿宋" w:hAnsi="仿宋" w:eastAsia="仿宋"/>
          <w:sz w:val="32"/>
        </w:rPr>
      </w:pPr>
      <w:r>
        <w:drawing>
          <wp:inline distT="0" distB="0" distL="114300" distR="114300">
            <wp:extent cx="5222240" cy="4252595"/>
            <wp:effectExtent l="0" t="0" r="16510"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22240" cy="4252595"/>
                    </a:xfrm>
                    <a:prstGeom prst="rect">
                      <a:avLst/>
                    </a:prstGeom>
                    <a:noFill/>
                    <a:ln>
                      <a:noFill/>
                    </a:ln>
                  </pic:spPr>
                </pic:pic>
              </a:graphicData>
            </a:graphic>
          </wp:inline>
        </w:drawing>
      </w:r>
      <w:r>
        <w:rPr>
          <w:rFonts w:hint="eastAsia" w:ascii="仿宋" w:hAnsi="仿宋" w:eastAsia="仿宋"/>
          <w:sz w:val="32"/>
        </w:rPr>
        <w:t>二、收入决算表</w:t>
      </w:r>
    </w:p>
    <w:p>
      <w:pPr>
        <w:rPr>
          <w:rFonts w:hint="eastAsia" w:ascii="仿宋" w:hAnsi="仿宋" w:eastAsia="仿宋"/>
          <w:sz w:val="32"/>
        </w:rPr>
      </w:pPr>
      <w:r>
        <w:drawing>
          <wp:inline distT="0" distB="0" distL="114300" distR="114300">
            <wp:extent cx="5271135" cy="2428240"/>
            <wp:effectExtent l="0" t="0" r="5715" b="1016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5271135" cy="2428240"/>
                    </a:xfrm>
                    <a:prstGeom prst="rect">
                      <a:avLst/>
                    </a:prstGeom>
                    <a:noFill/>
                    <a:ln>
                      <a:noFill/>
                    </a:ln>
                  </pic:spPr>
                </pic:pic>
              </a:graphicData>
            </a:graphic>
          </wp:inline>
        </w:drawing>
      </w:r>
    </w:p>
    <w:p>
      <w:pPr>
        <w:numPr>
          <w:ilvl w:val="0"/>
          <w:numId w:val="1"/>
        </w:numPr>
        <w:ind w:firstLine="640"/>
        <w:rPr>
          <w:rFonts w:hint="eastAsia" w:ascii="仿宋" w:hAnsi="仿宋" w:eastAsia="仿宋"/>
          <w:sz w:val="32"/>
        </w:rPr>
      </w:pPr>
      <w:r>
        <w:rPr>
          <w:rFonts w:hint="eastAsia" w:ascii="仿宋" w:hAnsi="仿宋" w:eastAsia="仿宋"/>
          <w:sz w:val="32"/>
        </w:rPr>
        <w:t>支出决算表</w:t>
      </w:r>
    </w:p>
    <w:p>
      <w:pPr>
        <w:numPr>
          <w:ilvl w:val="0"/>
          <w:numId w:val="0"/>
        </w:numPr>
        <w:rPr>
          <w:rFonts w:hint="eastAsia" w:ascii="仿宋" w:hAnsi="仿宋" w:eastAsia="仿宋"/>
          <w:sz w:val="32"/>
        </w:rPr>
      </w:pPr>
      <w:r>
        <w:drawing>
          <wp:inline distT="0" distB="0" distL="114300" distR="114300">
            <wp:extent cx="5270500" cy="2720975"/>
            <wp:effectExtent l="0" t="0" r="6350" b="317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5270500" cy="2720975"/>
                    </a:xfrm>
                    <a:prstGeom prst="rect">
                      <a:avLst/>
                    </a:prstGeom>
                    <a:noFill/>
                    <a:ln>
                      <a:noFill/>
                    </a:ln>
                  </pic:spPr>
                </pic:pic>
              </a:graphicData>
            </a:graphic>
          </wp:inline>
        </w:drawing>
      </w:r>
    </w:p>
    <w:p>
      <w:pPr>
        <w:ind w:firstLine="640"/>
        <w:rPr>
          <w:rFonts w:hint="eastAsia" w:ascii="仿宋" w:hAnsi="仿宋" w:eastAsia="仿宋"/>
          <w:sz w:val="32"/>
        </w:rPr>
      </w:pPr>
      <w:r>
        <w:rPr>
          <w:rFonts w:hint="eastAsia" w:ascii="仿宋" w:hAnsi="仿宋" w:eastAsia="仿宋"/>
          <w:sz w:val="32"/>
        </w:rPr>
        <w:t>四、财政拨款收入支出决算总表</w:t>
      </w:r>
    </w:p>
    <w:p>
      <w:pPr>
        <w:rPr>
          <w:rFonts w:hint="eastAsia" w:ascii="仿宋" w:hAnsi="仿宋" w:eastAsia="仿宋"/>
          <w:sz w:val="32"/>
        </w:rPr>
      </w:pPr>
      <w:r>
        <w:drawing>
          <wp:inline distT="0" distB="0" distL="114300" distR="114300">
            <wp:extent cx="5269865" cy="3900805"/>
            <wp:effectExtent l="0" t="0" r="6985" b="44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269865" cy="3900805"/>
                    </a:xfrm>
                    <a:prstGeom prst="rect">
                      <a:avLst/>
                    </a:prstGeom>
                    <a:noFill/>
                    <a:ln>
                      <a:noFill/>
                    </a:ln>
                  </pic:spPr>
                </pic:pic>
              </a:graphicData>
            </a:graphic>
          </wp:inline>
        </w:drawing>
      </w:r>
    </w:p>
    <w:p>
      <w:pPr>
        <w:numPr>
          <w:ilvl w:val="0"/>
          <w:numId w:val="0"/>
        </w:numPr>
        <w:ind w:left="640" w:leftChars="0"/>
        <w:rPr>
          <w:rFonts w:hint="eastAsia" w:ascii="仿宋" w:hAnsi="仿宋" w:eastAsia="仿宋"/>
          <w:sz w:val="32"/>
        </w:rPr>
      </w:pPr>
      <w:r>
        <w:rPr>
          <w:rFonts w:hint="eastAsia" w:ascii="仿宋" w:hAnsi="仿宋" w:eastAsia="仿宋"/>
          <w:sz w:val="32"/>
          <w:lang w:val="en-US" w:eastAsia="zh-CN"/>
        </w:rPr>
        <w:t>五、</w:t>
      </w:r>
      <w:r>
        <w:rPr>
          <w:rFonts w:hint="eastAsia" w:ascii="仿宋" w:hAnsi="仿宋" w:eastAsia="仿宋"/>
          <w:sz w:val="32"/>
        </w:rPr>
        <w:t>一般公共预算财政拨款支出决算表（一）</w:t>
      </w:r>
    </w:p>
    <w:p>
      <w:pPr>
        <w:numPr>
          <w:ilvl w:val="0"/>
          <w:numId w:val="0"/>
        </w:numPr>
        <w:rPr>
          <w:rFonts w:hint="eastAsia" w:ascii="仿宋" w:hAnsi="仿宋" w:eastAsia="仿宋"/>
          <w:sz w:val="32"/>
        </w:rPr>
      </w:pPr>
      <w:r>
        <w:drawing>
          <wp:inline distT="0" distB="0" distL="114300" distR="114300">
            <wp:extent cx="5267325" cy="3660140"/>
            <wp:effectExtent l="0" t="0" r="9525" b="1651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5267325" cy="3660140"/>
                    </a:xfrm>
                    <a:prstGeom prst="rect">
                      <a:avLst/>
                    </a:prstGeom>
                    <a:noFill/>
                    <a:ln>
                      <a:noFill/>
                    </a:ln>
                  </pic:spPr>
                </pic:pic>
              </a:graphicData>
            </a:graphic>
          </wp:inline>
        </w:drawing>
      </w:r>
    </w:p>
    <w:p>
      <w:pPr>
        <w:numPr>
          <w:ilvl w:val="0"/>
          <w:numId w:val="2"/>
        </w:numPr>
        <w:ind w:firstLine="640"/>
        <w:rPr>
          <w:rFonts w:hint="eastAsia" w:ascii="仿宋" w:hAnsi="仿宋" w:eastAsia="仿宋"/>
          <w:sz w:val="32"/>
        </w:rPr>
      </w:pPr>
      <w:r>
        <w:rPr>
          <w:rFonts w:hint="eastAsia" w:ascii="仿宋" w:hAnsi="仿宋" w:eastAsia="仿宋"/>
          <w:sz w:val="32"/>
        </w:rPr>
        <w:t>一般公共预算财政拨款支出决算表（二）</w:t>
      </w:r>
    </w:p>
    <w:p>
      <w:pPr>
        <w:numPr>
          <w:ilvl w:val="0"/>
          <w:numId w:val="0"/>
        </w:numPr>
        <w:rPr>
          <w:rFonts w:hint="eastAsia" w:ascii="仿宋" w:hAnsi="仿宋" w:eastAsia="仿宋"/>
          <w:sz w:val="32"/>
        </w:rPr>
      </w:pPr>
      <w:r>
        <w:drawing>
          <wp:inline distT="0" distB="0" distL="114300" distR="114300">
            <wp:extent cx="5263515" cy="2293620"/>
            <wp:effectExtent l="0" t="0" r="13335" b="1143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a:stretch>
                      <a:fillRect/>
                    </a:stretch>
                  </pic:blipFill>
                  <pic:spPr>
                    <a:xfrm>
                      <a:off x="0" y="0"/>
                      <a:ext cx="5263515" cy="2293620"/>
                    </a:xfrm>
                    <a:prstGeom prst="rect">
                      <a:avLst/>
                    </a:prstGeom>
                    <a:noFill/>
                    <a:ln>
                      <a:noFill/>
                    </a:ln>
                  </pic:spPr>
                </pic:pic>
              </a:graphicData>
            </a:graphic>
          </wp:inline>
        </w:drawing>
      </w:r>
    </w:p>
    <w:p>
      <w:pPr>
        <w:numPr>
          <w:ilvl w:val="0"/>
          <w:numId w:val="2"/>
        </w:numPr>
        <w:ind w:left="0" w:leftChars="0" w:firstLine="640" w:firstLineChars="0"/>
        <w:rPr>
          <w:rFonts w:hint="eastAsia" w:ascii="仿宋" w:hAnsi="仿宋" w:eastAsia="仿宋"/>
          <w:sz w:val="32"/>
        </w:rPr>
      </w:pPr>
      <w:r>
        <w:rPr>
          <w:rFonts w:hint="eastAsia" w:ascii="仿宋" w:hAnsi="仿宋" w:eastAsia="仿宋"/>
          <w:sz w:val="32"/>
        </w:rPr>
        <w:t>一般公共预算财政拨款“三公”经费支出决算表</w:t>
      </w:r>
    </w:p>
    <w:p>
      <w:pPr>
        <w:numPr>
          <w:ilvl w:val="0"/>
          <w:numId w:val="0"/>
        </w:numPr>
      </w:pPr>
      <w:r>
        <w:drawing>
          <wp:inline distT="0" distB="0" distL="114300" distR="114300">
            <wp:extent cx="5272405" cy="1075690"/>
            <wp:effectExtent l="0" t="0" r="4445" b="1016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0"/>
                    <a:stretch>
                      <a:fillRect/>
                    </a:stretch>
                  </pic:blipFill>
                  <pic:spPr>
                    <a:xfrm>
                      <a:off x="0" y="0"/>
                      <a:ext cx="5272405" cy="1075690"/>
                    </a:xfrm>
                    <a:prstGeom prst="rect">
                      <a:avLst/>
                    </a:prstGeom>
                    <a:noFill/>
                    <a:ln>
                      <a:noFill/>
                    </a:ln>
                  </pic:spPr>
                </pic:pic>
              </a:graphicData>
            </a:graphic>
          </wp:inline>
        </w:drawing>
      </w:r>
    </w:p>
    <w:p>
      <w:pPr>
        <w:ind w:firstLine="640"/>
        <w:rPr>
          <w:rFonts w:hint="eastAsia" w:ascii="仿宋" w:hAnsi="仿宋" w:eastAsia="仿宋"/>
          <w:lang w:eastAsia="zh-CN"/>
        </w:rPr>
      </w:pPr>
      <w:r>
        <w:rPr>
          <w:rFonts w:hint="eastAsia" w:ascii="仿宋" w:hAnsi="仿宋" w:eastAsia="仿宋"/>
          <w:sz w:val="32"/>
        </w:rPr>
        <w:t>说明：</w:t>
      </w:r>
      <w:r>
        <w:rPr>
          <w:rFonts w:hint="eastAsia" w:ascii="仿宋" w:hAnsi="仿宋" w:eastAsia="仿宋"/>
          <w:sz w:val="32"/>
          <w:lang w:val="en-US" w:eastAsia="zh-CN"/>
        </w:rPr>
        <w:t>武乡县防震减灾中心</w:t>
      </w:r>
      <w:r>
        <w:rPr>
          <w:rFonts w:hint="eastAsia" w:ascii="仿宋" w:hAnsi="仿宋" w:eastAsia="仿宋"/>
          <w:sz w:val="32"/>
        </w:rPr>
        <w:t>没有使用一般公共预算财政拨款“三公”经费支出，故本表无数据</w:t>
      </w:r>
      <w:r>
        <w:rPr>
          <w:rFonts w:hint="eastAsia" w:ascii="仿宋" w:hAnsi="仿宋" w:eastAsia="仿宋"/>
          <w:sz w:val="32"/>
          <w:lang w:eastAsia="zh-CN"/>
        </w:rPr>
        <w:t>。</w:t>
      </w:r>
    </w:p>
    <w:p>
      <w:pPr>
        <w:numPr>
          <w:ilvl w:val="0"/>
          <w:numId w:val="0"/>
        </w:numPr>
        <w:rPr>
          <w:rFonts w:hint="eastAsia"/>
        </w:rPr>
      </w:pPr>
    </w:p>
    <w:p>
      <w:pPr>
        <w:numPr>
          <w:ilvl w:val="0"/>
          <w:numId w:val="2"/>
        </w:numPr>
        <w:ind w:left="0" w:leftChars="0" w:firstLine="640" w:firstLineChars="0"/>
        <w:rPr>
          <w:rFonts w:hint="eastAsia" w:ascii="仿宋" w:hAnsi="仿宋" w:eastAsia="仿宋"/>
          <w:sz w:val="32"/>
        </w:rPr>
      </w:pPr>
      <w:r>
        <w:rPr>
          <w:rFonts w:hint="eastAsia" w:ascii="仿宋" w:hAnsi="仿宋" w:eastAsia="仿宋"/>
          <w:sz w:val="32"/>
        </w:rPr>
        <w:t>政府性基金预算财政拨款收入支出决算表</w:t>
      </w:r>
    </w:p>
    <w:p>
      <w:pPr>
        <w:numPr>
          <w:ilvl w:val="0"/>
          <w:numId w:val="0"/>
        </w:numPr>
      </w:pPr>
      <w:r>
        <w:drawing>
          <wp:inline distT="0" distB="0" distL="114300" distR="114300">
            <wp:extent cx="5272405" cy="1696085"/>
            <wp:effectExtent l="0" t="0" r="4445" b="1841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1"/>
                    <a:stretch>
                      <a:fillRect/>
                    </a:stretch>
                  </pic:blipFill>
                  <pic:spPr>
                    <a:xfrm>
                      <a:off x="0" y="0"/>
                      <a:ext cx="5272405" cy="1696085"/>
                    </a:xfrm>
                    <a:prstGeom prst="rect">
                      <a:avLst/>
                    </a:prstGeom>
                    <a:noFill/>
                    <a:ln>
                      <a:noFill/>
                    </a:ln>
                  </pic:spPr>
                </pic:pic>
              </a:graphicData>
            </a:graphic>
          </wp:inline>
        </w:drawing>
      </w:r>
    </w:p>
    <w:p>
      <w:pPr>
        <w:ind w:firstLine="640"/>
        <w:rPr>
          <w:rFonts w:hint="eastAsia"/>
        </w:rPr>
      </w:pPr>
      <w:r>
        <w:rPr>
          <w:rFonts w:hint="eastAsia" w:ascii="仿宋" w:hAnsi="仿宋" w:eastAsia="仿宋"/>
          <w:sz w:val="32"/>
        </w:rPr>
        <w:t>说明：</w:t>
      </w:r>
      <w:r>
        <w:rPr>
          <w:rFonts w:hint="eastAsia" w:ascii="仿宋" w:hAnsi="仿宋" w:eastAsia="仿宋"/>
          <w:sz w:val="32"/>
          <w:lang w:val="en-US" w:eastAsia="zh-CN"/>
        </w:rPr>
        <w:t>武乡县防震减灾中心</w:t>
      </w:r>
      <w:r>
        <w:rPr>
          <w:rFonts w:hint="eastAsia" w:ascii="仿宋" w:hAnsi="仿宋" w:eastAsia="仿宋"/>
          <w:sz w:val="32"/>
        </w:rPr>
        <w:t>没有使用政府性基金预算财政拨款收入支出，故本表无数据</w:t>
      </w:r>
      <w:r>
        <w:rPr>
          <w:rFonts w:hint="eastAsia" w:ascii="仿宋" w:hAnsi="仿宋" w:eastAsia="仿宋"/>
          <w:sz w:val="32"/>
          <w:lang w:eastAsia="zh-CN"/>
        </w:rPr>
        <w:t>。</w:t>
      </w:r>
    </w:p>
    <w:p>
      <w:pPr>
        <w:numPr>
          <w:ilvl w:val="0"/>
          <w:numId w:val="2"/>
        </w:numPr>
        <w:ind w:left="0" w:leftChars="0" w:firstLine="640" w:firstLineChars="0"/>
        <w:rPr>
          <w:rFonts w:hint="eastAsia" w:ascii="仿宋" w:hAnsi="仿宋" w:eastAsia="仿宋"/>
          <w:sz w:val="32"/>
        </w:rPr>
      </w:pPr>
      <w:r>
        <w:rPr>
          <w:rFonts w:hint="eastAsia" w:ascii="仿宋" w:hAnsi="仿宋" w:eastAsia="仿宋"/>
          <w:sz w:val="32"/>
        </w:rPr>
        <w:t>国有资本经营预算财政拨款支出决算表</w:t>
      </w:r>
    </w:p>
    <w:p>
      <w:pPr>
        <w:numPr>
          <w:ilvl w:val="0"/>
          <w:numId w:val="0"/>
        </w:numPr>
      </w:pPr>
      <w:r>
        <w:drawing>
          <wp:inline distT="0" distB="0" distL="114300" distR="114300">
            <wp:extent cx="5271770" cy="2548890"/>
            <wp:effectExtent l="0" t="0" r="5080" b="381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pic:cNvPicPr>
                  </pic:nvPicPr>
                  <pic:blipFill>
                    <a:blip r:embed="rId12"/>
                    <a:stretch>
                      <a:fillRect/>
                    </a:stretch>
                  </pic:blipFill>
                  <pic:spPr>
                    <a:xfrm>
                      <a:off x="0" y="0"/>
                      <a:ext cx="5271770" cy="2548890"/>
                    </a:xfrm>
                    <a:prstGeom prst="rect">
                      <a:avLst/>
                    </a:prstGeom>
                    <a:noFill/>
                    <a:ln>
                      <a:noFill/>
                    </a:ln>
                  </pic:spPr>
                </pic:pic>
              </a:graphicData>
            </a:graphic>
          </wp:inline>
        </w:drawing>
      </w:r>
    </w:p>
    <w:p>
      <w:pPr>
        <w:ind w:firstLine="640"/>
        <w:rPr>
          <w:rFonts w:hint="eastAsia" w:eastAsia="宋体"/>
          <w:lang w:eastAsia="zh-CN"/>
        </w:rPr>
      </w:pPr>
      <w:r>
        <w:rPr>
          <w:rFonts w:hint="eastAsia" w:ascii="仿宋" w:hAnsi="仿宋" w:eastAsia="仿宋"/>
          <w:sz w:val="32"/>
        </w:rPr>
        <w:t>说明：</w:t>
      </w:r>
      <w:r>
        <w:rPr>
          <w:rFonts w:hint="eastAsia" w:ascii="仿宋" w:hAnsi="仿宋" w:eastAsia="仿宋"/>
          <w:sz w:val="32"/>
          <w:lang w:val="en-US" w:eastAsia="zh-CN"/>
        </w:rPr>
        <w:t>武乡县防震减灾中心</w:t>
      </w:r>
      <w:r>
        <w:rPr>
          <w:rFonts w:hint="eastAsia" w:ascii="仿宋" w:hAnsi="仿宋" w:eastAsia="仿宋"/>
          <w:sz w:val="32"/>
        </w:rPr>
        <w:t>没有使用国有资本经营预算财政拨款支出，故本表无数据</w:t>
      </w:r>
      <w:r>
        <w:rPr>
          <w:rFonts w:hint="eastAsia" w:ascii="仿宋" w:hAnsi="仿宋" w:eastAsia="仿宋"/>
          <w:sz w:val="32"/>
          <w:lang w:eastAsia="zh-CN"/>
        </w:rPr>
        <w:t>。</w:t>
      </w:r>
    </w:p>
    <w:p>
      <w:pPr>
        <w:numPr>
          <w:ilvl w:val="0"/>
          <w:numId w:val="2"/>
        </w:numPr>
        <w:ind w:left="0" w:leftChars="0" w:firstLine="640" w:firstLineChars="0"/>
        <w:rPr>
          <w:rFonts w:hint="eastAsia" w:ascii="仿宋" w:hAnsi="仿宋" w:eastAsia="仿宋"/>
          <w:sz w:val="32"/>
        </w:rPr>
      </w:pPr>
      <w:r>
        <w:rPr>
          <w:rFonts w:hint="eastAsia" w:ascii="仿宋" w:hAnsi="仿宋" w:eastAsia="仿宋"/>
          <w:sz w:val="32"/>
        </w:rPr>
        <w:t>部门决算公开相关信息统计表</w:t>
      </w:r>
    </w:p>
    <w:p>
      <w:pPr>
        <w:numPr>
          <w:ilvl w:val="0"/>
          <w:numId w:val="0"/>
        </w:numPr>
      </w:pPr>
      <w:r>
        <w:drawing>
          <wp:inline distT="0" distB="0" distL="114300" distR="114300">
            <wp:extent cx="5228590" cy="5208270"/>
            <wp:effectExtent l="0" t="0" r="10160" b="1143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3"/>
                    <a:stretch>
                      <a:fillRect/>
                    </a:stretch>
                  </pic:blipFill>
                  <pic:spPr>
                    <a:xfrm>
                      <a:off x="0" y="0"/>
                      <a:ext cx="5228590" cy="5208270"/>
                    </a:xfrm>
                    <a:prstGeom prst="rect">
                      <a:avLst/>
                    </a:prstGeom>
                    <a:noFill/>
                    <a:ln>
                      <a:noFill/>
                    </a:ln>
                  </pic:spPr>
                </pic:pic>
              </a:graphicData>
            </a:graphic>
          </wp:inline>
        </w:drawing>
      </w: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numPr>
          <w:ilvl w:val="0"/>
          <w:numId w:val="0"/>
        </w:numPr>
      </w:pPr>
    </w:p>
    <w:p>
      <w:pPr>
        <w:ind w:firstLine="640" w:firstLineChars="200"/>
        <w:rPr>
          <w:rFonts w:ascii="黑体" w:hAnsi="黑体" w:eastAsia="黑体" w:cs="宋体"/>
          <w:sz w:val="32"/>
          <w:szCs w:val="32"/>
        </w:rPr>
      </w:pPr>
      <w:r>
        <w:rPr>
          <w:rFonts w:hint="eastAsia" w:ascii="黑体" w:hAnsi="黑体" w:eastAsia="黑体" w:cs="宋体"/>
          <w:sz w:val="32"/>
          <w:szCs w:val="32"/>
        </w:rPr>
        <w:t>第三部分</w:t>
      </w:r>
      <w:r>
        <w:rPr>
          <w:rFonts w:ascii="黑体" w:hAnsi="黑体" w:eastAsia="黑体" w:cs="宋体"/>
          <w:sz w:val="32"/>
          <w:szCs w:val="32"/>
        </w:rPr>
        <w:t xml:space="preserve">  202</w:t>
      </w:r>
      <w:r>
        <w:rPr>
          <w:rFonts w:hint="eastAsia" w:ascii="黑体" w:hAnsi="黑体" w:eastAsia="黑体" w:cs="宋体"/>
          <w:sz w:val="32"/>
          <w:szCs w:val="32"/>
        </w:rPr>
        <w:t>2年度部门（单位）决算情况说明</w:t>
      </w:r>
    </w:p>
    <w:p>
      <w:pPr>
        <w:ind w:firstLine="643"/>
        <w:rPr>
          <w:rFonts w:ascii="楷体" w:hAnsi="楷体" w:eastAsia="楷体"/>
        </w:rPr>
      </w:pPr>
      <w:r>
        <w:rPr>
          <w:rFonts w:hint="eastAsia" w:ascii="楷体" w:hAnsi="楷体" w:eastAsia="楷体"/>
          <w:sz w:val="32"/>
        </w:rPr>
        <w:t>一、收入支出决算总体情况说明</w:t>
      </w:r>
    </w:p>
    <w:p>
      <w:pPr>
        <w:ind w:firstLine="640"/>
        <w:rPr>
          <w:rFonts w:ascii="仿宋" w:hAnsi="仿宋" w:eastAsia="仿宋"/>
        </w:rPr>
      </w:pPr>
      <w:r>
        <w:rPr>
          <w:rFonts w:hint="eastAsia" w:ascii="仿宋" w:hAnsi="仿宋" w:eastAsia="仿宋"/>
          <w:sz w:val="32"/>
        </w:rPr>
        <w:t>2022年度收入总计</w:t>
      </w:r>
      <w:r>
        <w:rPr>
          <w:rFonts w:hint="eastAsia" w:ascii="仿宋" w:hAnsi="仿宋" w:eastAsia="仿宋"/>
          <w:sz w:val="32"/>
          <w:lang w:val="en-US" w:eastAsia="zh-CN"/>
        </w:rPr>
        <w:t>210.96</w:t>
      </w:r>
      <w:r>
        <w:rPr>
          <w:rFonts w:hint="eastAsia" w:ascii="仿宋" w:hAnsi="仿宋" w:eastAsia="仿宋"/>
          <w:sz w:val="32"/>
        </w:rPr>
        <w:t>万元、支出总计</w:t>
      </w:r>
      <w:r>
        <w:rPr>
          <w:rFonts w:hint="eastAsia" w:ascii="仿宋" w:hAnsi="仿宋" w:eastAsia="仿宋"/>
          <w:sz w:val="32"/>
          <w:lang w:val="en-US" w:eastAsia="zh-CN"/>
        </w:rPr>
        <w:t>210.96</w:t>
      </w:r>
      <w:r>
        <w:rPr>
          <w:rFonts w:hint="eastAsia" w:ascii="仿宋" w:hAnsi="仿宋" w:eastAsia="仿宋"/>
          <w:sz w:val="32"/>
        </w:rPr>
        <w:t>万元。与2021年相比，收入总计</w:t>
      </w:r>
      <w:r>
        <w:rPr>
          <w:rFonts w:hint="eastAsia" w:ascii="仿宋" w:hAnsi="仿宋" w:eastAsia="仿宋"/>
          <w:sz w:val="32"/>
          <w:lang w:val="en-US" w:eastAsia="zh-CN"/>
        </w:rPr>
        <w:t>增加119.50</w:t>
      </w:r>
      <w:r>
        <w:rPr>
          <w:rFonts w:hint="eastAsia" w:ascii="仿宋" w:hAnsi="仿宋" w:eastAsia="仿宋"/>
          <w:sz w:val="32"/>
        </w:rPr>
        <w:t>万元，</w:t>
      </w:r>
      <w:r>
        <w:rPr>
          <w:rFonts w:hint="eastAsia" w:ascii="仿宋" w:hAnsi="仿宋" w:eastAsia="仿宋"/>
          <w:sz w:val="32"/>
          <w:lang w:val="en-US" w:eastAsia="zh-CN"/>
        </w:rPr>
        <w:t>增加了56.6%</w:t>
      </w:r>
      <w:r>
        <w:rPr>
          <w:rFonts w:hint="eastAsia" w:ascii="仿宋" w:hAnsi="仿宋" w:eastAsia="仿宋"/>
          <w:sz w:val="32"/>
        </w:rPr>
        <w:t>，支出总计</w:t>
      </w:r>
      <w:r>
        <w:rPr>
          <w:rFonts w:hint="eastAsia" w:ascii="仿宋" w:hAnsi="仿宋" w:eastAsia="仿宋"/>
          <w:sz w:val="32"/>
          <w:lang w:val="en-US" w:eastAsia="zh-CN"/>
        </w:rPr>
        <w:t>增加了121.94</w:t>
      </w:r>
      <w:r>
        <w:rPr>
          <w:rFonts w:hint="eastAsia" w:ascii="仿宋" w:hAnsi="仿宋" w:eastAsia="仿宋"/>
          <w:sz w:val="32"/>
        </w:rPr>
        <w:t>万元，</w:t>
      </w:r>
      <w:r>
        <w:rPr>
          <w:rFonts w:hint="eastAsia" w:ascii="仿宋" w:hAnsi="仿宋" w:eastAsia="仿宋"/>
          <w:sz w:val="32"/>
          <w:lang w:val="en-US" w:eastAsia="zh-CN"/>
        </w:rPr>
        <w:t>增加了57.8</w:t>
      </w:r>
      <w:r>
        <w:rPr>
          <w:rFonts w:hint="eastAsia" w:ascii="仿宋" w:hAnsi="仿宋" w:eastAsia="仿宋"/>
          <w:sz w:val="32"/>
        </w:rPr>
        <w:t>%。主要原因是</w:t>
      </w:r>
      <w:r>
        <w:rPr>
          <w:rFonts w:hint="eastAsia" w:ascii="仿宋" w:hAnsi="仿宋" w:eastAsia="仿宋"/>
          <w:sz w:val="32"/>
          <w:lang w:val="en-US" w:eastAsia="zh-CN"/>
        </w:rPr>
        <w:t>增加了全县地震应急避难场所、维护五里坡地震观测台运行环境及宣传培训服务所需资金、对蟠龙镇神南村一带开展加密监测经费与地震灾害综合风险普查经费等项目资</w:t>
      </w:r>
      <w:bookmarkStart w:id="0" w:name="_GoBack"/>
      <w:bookmarkEnd w:id="0"/>
      <w:r>
        <w:rPr>
          <w:rFonts w:hint="eastAsia" w:ascii="仿宋" w:hAnsi="仿宋" w:eastAsia="仿宋"/>
          <w:sz w:val="32"/>
          <w:lang w:val="en-US" w:eastAsia="zh-CN"/>
        </w:rPr>
        <w:t>金的支出与人员经费的增长</w:t>
      </w:r>
      <w:r>
        <w:rPr>
          <w:rFonts w:hint="eastAsia" w:ascii="仿宋" w:hAnsi="仿宋" w:eastAsia="仿宋"/>
          <w:sz w:val="32"/>
        </w:rPr>
        <w:t>。</w:t>
      </w:r>
    </w:p>
    <w:p>
      <w:pPr>
        <w:spacing w:line="580" w:lineRule="exact"/>
        <w:ind w:firstLine="643"/>
        <w:outlineLvl w:val="0"/>
        <w:rPr>
          <w:rFonts w:ascii="楷体" w:hAnsi="楷体" w:eastAsia="楷体"/>
        </w:rPr>
      </w:pPr>
      <w:r>
        <w:rPr>
          <w:rFonts w:hint="eastAsia" w:ascii="楷体" w:hAnsi="楷体" w:eastAsia="楷体"/>
          <w:sz w:val="32"/>
        </w:rPr>
        <w:t>二、收入决算情况说明</w:t>
      </w:r>
    </w:p>
    <w:p>
      <w:pPr>
        <w:spacing w:line="580" w:lineRule="exact"/>
        <w:ind w:firstLine="640"/>
        <w:rPr>
          <w:rFonts w:ascii="仿宋" w:hAnsi="仿宋" w:eastAsia="仿宋"/>
        </w:rPr>
      </w:pPr>
      <w:r>
        <w:rPr>
          <w:rFonts w:hint="eastAsia" w:ascii="仿宋" w:hAnsi="仿宋" w:eastAsia="仿宋"/>
          <w:sz w:val="32"/>
        </w:rPr>
        <w:t>2022年度收入合计</w:t>
      </w:r>
      <w:r>
        <w:rPr>
          <w:rFonts w:hint="eastAsia" w:ascii="仿宋" w:hAnsi="仿宋" w:eastAsia="仿宋"/>
          <w:sz w:val="32"/>
          <w:lang w:val="en-US" w:eastAsia="zh-CN"/>
        </w:rPr>
        <w:t>210.96</w:t>
      </w:r>
      <w:r>
        <w:rPr>
          <w:rFonts w:hint="eastAsia" w:ascii="仿宋" w:hAnsi="仿宋" w:eastAsia="仿宋"/>
          <w:sz w:val="32"/>
        </w:rPr>
        <w:t>万元，其中：财政拨款收入</w:t>
      </w:r>
      <w:r>
        <w:rPr>
          <w:rFonts w:hint="eastAsia" w:ascii="仿宋" w:hAnsi="仿宋" w:eastAsia="仿宋"/>
          <w:sz w:val="32"/>
          <w:lang w:val="en-US" w:eastAsia="zh-CN"/>
        </w:rPr>
        <w:t>210.96</w:t>
      </w:r>
      <w:r>
        <w:rPr>
          <w:rFonts w:hint="eastAsia" w:ascii="仿宋" w:hAnsi="仿宋" w:eastAsia="仿宋"/>
          <w:sz w:val="32"/>
        </w:rPr>
        <w:t>万元，占比</w:t>
      </w:r>
      <w:r>
        <w:rPr>
          <w:rFonts w:hint="eastAsia" w:ascii="仿宋" w:hAnsi="仿宋" w:eastAsia="仿宋"/>
          <w:sz w:val="32"/>
          <w:lang w:val="en-US" w:eastAsia="zh-CN"/>
        </w:rPr>
        <w:t>100</w:t>
      </w:r>
      <w:r>
        <w:rPr>
          <w:rFonts w:hint="eastAsia" w:ascii="仿宋" w:hAnsi="仿宋" w:eastAsia="仿宋"/>
          <w:sz w:val="32"/>
        </w:rPr>
        <w:t>%。</w:t>
      </w:r>
    </w:p>
    <w:p>
      <w:pPr>
        <w:spacing w:line="580" w:lineRule="exact"/>
        <w:ind w:firstLine="643"/>
        <w:rPr>
          <w:rFonts w:ascii="楷体" w:hAnsi="楷体" w:eastAsia="楷体"/>
        </w:rPr>
      </w:pPr>
      <w:r>
        <w:rPr>
          <w:rFonts w:hint="eastAsia" w:ascii="楷体" w:hAnsi="楷体" w:eastAsia="楷体"/>
          <w:sz w:val="32"/>
        </w:rPr>
        <w:t>三、支出决算情况说明</w:t>
      </w:r>
    </w:p>
    <w:p>
      <w:pPr>
        <w:spacing w:line="580" w:lineRule="exact"/>
        <w:ind w:firstLine="640"/>
        <w:rPr>
          <w:rFonts w:ascii="仿宋" w:hAnsi="仿宋" w:eastAsia="仿宋"/>
        </w:rPr>
      </w:pPr>
      <w:r>
        <w:rPr>
          <w:rFonts w:hint="eastAsia" w:ascii="仿宋" w:hAnsi="仿宋" w:eastAsia="仿宋"/>
          <w:sz w:val="32"/>
        </w:rPr>
        <w:t>2022年度支出合计</w:t>
      </w:r>
      <w:r>
        <w:rPr>
          <w:rFonts w:hint="eastAsia" w:ascii="仿宋" w:hAnsi="仿宋" w:eastAsia="仿宋"/>
          <w:sz w:val="32"/>
          <w:lang w:val="en-US" w:eastAsia="zh-CN"/>
        </w:rPr>
        <w:t>210.96</w:t>
      </w:r>
      <w:r>
        <w:rPr>
          <w:rFonts w:hint="eastAsia" w:ascii="仿宋" w:hAnsi="仿宋" w:eastAsia="仿宋"/>
          <w:sz w:val="32"/>
        </w:rPr>
        <w:t>万元，其中：基本支出</w:t>
      </w:r>
      <w:r>
        <w:rPr>
          <w:rFonts w:hint="eastAsia" w:ascii="仿宋" w:hAnsi="仿宋" w:eastAsia="仿宋"/>
          <w:sz w:val="32"/>
          <w:lang w:val="en-US" w:eastAsia="zh-CN"/>
        </w:rPr>
        <w:t>108.38</w:t>
      </w:r>
      <w:r>
        <w:rPr>
          <w:rFonts w:hint="eastAsia" w:ascii="仿宋" w:hAnsi="仿宋" w:eastAsia="仿宋"/>
          <w:sz w:val="32"/>
        </w:rPr>
        <w:t>万元，占比</w:t>
      </w:r>
      <w:r>
        <w:rPr>
          <w:rFonts w:hint="eastAsia" w:ascii="仿宋" w:hAnsi="仿宋" w:eastAsia="仿宋"/>
          <w:sz w:val="32"/>
          <w:lang w:val="en-US" w:eastAsia="zh-CN"/>
        </w:rPr>
        <w:t>51.4</w:t>
      </w:r>
      <w:r>
        <w:rPr>
          <w:rFonts w:hint="eastAsia" w:ascii="仿宋" w:hAnsi="仿宋" w:eastAsia="仿宋"/>
          <w:sz w:val="32"/>
        </w:rPr>
        <w:t>%；项目支出</w:t>
      </w:r>
      <w:r>
        <w:rPr>
          <w:rFonts w:hint="eastAsia" w:ascii="仿宋" w:hAnsi="仿宋" w:eastAsia="仿宋"/>
          <w:sz w:val="32"/>
          <w:lang w:val="en-US" w:eastAsia="zh-CN"/>
        </w:rPr>
        <w:t>102.58</w:t>
      </w:r>
      <w:r>
        <w:rPr>
          <w:rFonts w:hint="eastAsia" w:ascii="仿宋" w:hAnsi="仿宋" w:eastAsia="仿宋"/>
          <w:sz w:val="32"/>
        </w:rPr>
        <w:t>万元，占比</w:t>
      </w:r>
      <w:r>
        <w:rPr>
          <w:rFonts w:hint="eastAsia" w:ascii="仿宋" w:hAnsi="仿宋" w:eastAsia="仿宋"/>
          <w:sz w:val="32"/>
          <w:lang w:val="en-US" w:eastAsia="zh-CN"/>
        </w:rPr>
        <w:t>48.6</w:t>
      </w:r>
      <w:r>
        <w:rPr>
          <w:rFonts w:hint="eastAsia" w:ascii="仿宋" w:hAnsi="仿宋" w:eastAsia="仿宋"/>
          <w:sz w:val="32"/>
        </w:rPr>
        <w:t>%。</w:t>
      </w:r>
    </w:p>
    <w:p>
      <w:pPr>
        <w:spacing w:line="580" w:lineRule="exact"/>
        <w:ind w:firstLine="643"/>
        <w:rPr>
          <w:rFonts w:ascii="楷体" w:hAnsi="楷体" w:eastAsia="楷体"/>
        </w:rPr>
      </w:pPr>
      <w:r>
        <w:rPr>
          <w:rFonts w:hint="eastAsia" w:ascii="楷体" w:hAnsi="楷体" w:eastAsia="楷体"/>
          <w:sz w:val="32"/>
        </w:rPr>
        <w:t>四、财政拨款收入支出决算总体情况说明</w:t>
      </w:r>
    </w:p>
    <w:p>
      <w:pPr>
        <w:spacing w:line="580" w:lineRule="exact"/>
        <w:ind w:firstLine="640"/>
        <w:rPr>
          <w:rFonts w:ascii="仿宋" w:hAnsi="仿宋" w:eastAsia="仿宋"/>
        </w:rPr>
      </w:pPr>
      <w:r>
        <w:rPr>
          <w:rFonts w:hint="eastAsia" w:ascii="仿宋" w:hAnsi="仿宋" w:eastAsia="仿宋"/>
          <w:sz w:val="32"/>
        </w:rPr>
        <w:t>2022年度财政拨款收入总计</w:t>
      </w:r>
      <w:r>
        <w:rPr>
          <w:rFonts w:hint="eastAsia" w:ascii="仿宋" w:hAnsi="仿宋" w:eastAsia="仿宋"/>
          <w:sz w:val="32"/>
          <w:lang w:val="en-US" w:eastAsia="zh-CN"/>
        </w:rPr>
        <w:t>210.96</w:t>
      </w:r>
      <w:r>
        <w:rPr>
          <w:rFonts w:hint="eastAsia" w:ascii="仿宋" w:hAnsi="仿宋" w:eastAsia="仿宋"/>
          <w:sz w:val="32"/>
        </w:rPr>
        <w:t>万元、支出总计</w:t>
      </w:r>
      <w:r>
        <w:rPr>
          <w:rFonts w:hint="eastAsia" w:ascii="仿宋" w:hAnsi="仿宋" w:eastAsia="仿宋"/>
          <w:sz w:val="32"/>
          <w:lang w:val="en-US" w:eastAsia="zh-CN"/>
        </w:rPr>
        <w:t>210.96</w:t>
      </w:r>
      <w:r>
        <w:rPr>
          <w:rFonts w:hint="eastAsia" w:ascii="仿宋" w:hAnsi="仿宋" w:eastAsia="仿宋"/>
          <w:sz w:val="32"/>
        </w:rPr>
        <w:t>万元。与2021年相比，财政拨款收入总计</w:t>
      </w:r>
      <w:r>
        <w:rPr>
          <w:rFonts w:hint="eastAsia" w:ascii="仿宋" w:hAnsi="仿宋" w:eastAsia="仿宋"/>
          <w:sz w:val="32"/>
          <w:lang w:val="en-US" w:eastAsia="zh-CN"/>
        </w:rPr>
        <w:t>增加119.50</w:t>
      </w:r>
      <w:r>
        <w:rPr>
          <w:rFonts w:hint="eastAsia" w:ascii="仿宋" w:hAnsi="仿宋" w:eastAsia="仿宋"/>
          <w:sz w:val="32"/>
        </w:rPr>
        <w:t>万元，</w:t>
      </w:r>
      <w:r>
        <w:rPr>
          <w:rFonts w:hint="eastAsia" w:ascii="仿宋" w:hAnsi="仿宋" w:eastAsia="仿宋"/>
          <w:sz w:val="32"/>
          <w:lang w:val="en-US" w:eastAsia="zh-CN"/>
        </w:rPr>
        <w:t>增加了56.6</w:t>
      </w:r>
      <w:r>
        <w:rPr>
          <w:rFonts w:hint="eastAsia" w:ascii="仿宋" w:hAnsi="仿宋" w:eastAsia="仿宋"/>
          <w:sz w:val="32"/>
        </w:rPr>
        <w:t>%，财政拨款支出总计</w:t>
      </w:r>
      <w:r>
        <w:rPr>
          <w:rFonts w:hint="eastAsia" w:ascii="仿宋" w:hAnsi="仿宋" w:eastAsia="仿宋"/>
          <w:sz w:val="32"/>
          <w:lang w:val="en-US" w:eastAsia="zh-CN"/>
        </w:rPr>
        <w:t>增加121.94</w:t>
      </w:r>
      <w:r>
        <w:rPr>
          <w:rFonts w:hint="eastAsia" w:ascii="仿宋" w:hAnsi="仿宋" w:eastAsia="仿宋"/>
          <w:sz w:val="32"/>
        </w:rPr>
        <w:t>万元，</w:t>
      </w:r>
      <w:r>
        <w:rPr>
          <w:rFonts w:hint="eastAsia" w:ascii="仿宋" w:hAnsi="仿宋" w:eastAsia="仿宋"/>
          <w:sz w:val="32"/>
          <w:lang w:val="en-US" w:eastAsia="zh-CN"/>
        </w:rPr>
        <w:t>增加了57.8</w:t>
      </w:r>
      <w:r>
        <w:rPr>
          <w:rFonts w:hint="eastAsia" w:ascii="仿宋" w:hAnsi="仿宋" w:eastAsia="仿宋"/>
          <w:sz w:val="32"/>
        </w:rPr>
        <w:t>%。主要原因是</w:t>
      </w:r>
      <w:r>
        <w:rPr>
          <w:rFonts w:hint="eastAsia" w:ascii="仿宋" w:hAnsi="仿宋" w:eastAsia="仿宋"/>
          <w:sz w:val="32"/>
          <w:lang w:val="en-US" w:eastAsia="zh-CN"/>
        </w:rPr>
        <w:t>增加了全县地震应急避难场所、维护五里坡地震观测台运行环境及宣传培训服务所需资金、对蟠龙镇神南村一带开展加密监测经费与地震灾害综合风险普查经费等项目资金的支出与人员经费的增长</w:t>
      </w:r>
      <w:r>
        <w:rPr>
          <w:rFonts w:hint="eastAsia" w:ascii="仿宋" w:hAnsi="仿宋" w:eastAsia="仿宋"/>
          <w:sz w:val="32"/>
        </w:rPr>
        <w:t>。</w:t>
      </w:r>
    </w:p>
    <w:p>
      <w:pPr>
        <w:spacing w:line="580" w:lineRule="exact"/>
        <w:ind w:firstLine="643"/>
        <w:rPr>
          <w:rFonts w:ascii="楷体" w:hAnsi="楷体" w:eastAsia="楷体"/>
        </w:rPr>
      </w:pPr>
      <w:r>
        <w:rPr>
          <w:rFonts w:hint="eastAsia" w:ascii="楷体" w:hAnsi="楷体" w:eastAsia="楷体"/>
          <w:sz w:val="32"/>
        </w:rPr>
        <w:t>五、一般公共预算财政拨款支出决算情况说明</w:t>
      </w:r>
    </w:p>
    <w:p>
      <w:pPr>
        <w:spacing w:line="580" w:lineRule="exact"/>
        <w:ind w:firstLine="643"/>
        <w:rPr>
          <w:rFonts w:ascii="仿宋" w:hAnsi="仿宋" w:eastAsia="仿宋"/>
        </w:rPr>
      </w:pPr>
      <w:r>
        <w:rPr>
          <w:rFonts w:hint="eastAsia" w:ascii="仿宋" w:hAnsi="仿宋" w:eastAsia="仿宋"/>
          <w:sz w:val="32"/>
        </w:rPr>
        <w:t>（一）财政拨款支出决算总体情况</w:t>
      </w:r>
    </w:p>
    <w:p>
      <w:pPr>
        <w:spacing w:line="580" w:lineRule="exact"/>
        <w:ind w:firstLine="640"/>
        <w:rPr>
          <w:rFonts w:ascii="仿宋" w:hAnsi="仿宋" w:eastAsia="仿宋"/>
          <w:color w:val="auto"/>
          <w:highlight w:val="none"/>
        </w:rPr>
      </w:pPr>
      <w:r>
        <w:rPr>
          <w:rFonts w:hint="eastAsia" w:ascii="仿宋" w:hAnsi="仿宋" w:eastAsia="仿宋"/>
          <w:sz w:val="32"/>
        </w:rPr>
        <w:t>2022年度财政拨款支出</w:t>
      </w:r>
      <w:r>
        <w:rPr>
          <w:rFonts w:hint="eastAsia" w:ascii="仿宋" w:hAnsi="仿宋" w:eastAsia="仿宋"/>
          <w:sz w:val="32"/>
          <w:lang w:val="en-US" w:eastAsia="zh-CN"/>
        </w:rPr>
        <w:t>210.96</w:t>
      </w:r>
      <w:r>
        <w:rPr>
          <w:rFonts w:hint="eastAsia" w:ascii="仿宋" w:hAnsi="仿宋" w:eastAsia="仿宋"/>
          <w:sz w:val="32"/>
        </w:rPr>
        <w:t>万元，占本年支出合计的</w:t>
      </w:r>
      <w:r>
        <w:rPr>
          <w:rFonts w:hint="eastAsia" w:ascii="仿宋" w:hAnsi="仿宋" w:eastAsia="仿宋"/>
          <w:sz w:val="32"/>
          <w:lang w:val="en-US" w:eastAsia="zh-CN"/>
        </w:rPr>
        <w:t>100</w:t>
      </w:r>
      <w:r>
        <w:rPr>
          <w:rFonts w:hint="eastAsia" w:ascii="仿宋" w:hAnsi="仿宋" w:eastAsia="仿宋"/>
          <w:sz w:val="32"/>
        </w:rPr>
        <w:t>%。与2021年相比，财政拨款支出</w:t>
      </w:r>
      <w:r>
        <w:rPr>
          <w:rFonts w:hint="eastAsia" w:ascii="仿宋" w:hAnsi="仿宋" w:eastAsia="仿宋"/>
          <w:sz w:val="32"/>
          <w:lang w:val="en-US" w:eastAsia="zh-CN"/>
        </w:rPr>
        <w:t>增加121.94</w:t>
      </w:r>
      <w:r>
        <w:rPr>
          <w:rFonts w:hint="eastAsia" w:ascii="仿宋" w:hAnsi="仿宋" w:eastAsia="仿宋"/>
          <w:sz w:val="32"/>
        </w:rPr>
        <w:t>万元，</w:t>
      </w:r>
      <w:r>
        <w:rPr>
          <w:rFonts w:hint="eastAsia" w:ascii="仿宋" w:hAnsi="仿宋" w:eastAsia="仿宋"/>
          <w:sz w:val="32"/>
          <w:lang w:val="en-US" w:eastAsia="zh-CN"/>
        </w:rPr>
        <w:t>增加了57.8</w:t>
      </w:r>
      <w:r>
        <w:rPr>
          <w:rFonts w:hint="eastAsia" w:ascii="仿宋" w:hAnsi="仿宋" w:eastAsia="仿宋"/>
          <w:sz w:val="32"/>
        </w:rPr>
        <w:t>%。主要原因是</w:t>
      </w:r>
      <w:r>
        <w:rPr>
          <w:rFonts w:hint="eastAsia" w:ascii="仿宋" w:hAnsi="仿宋" w:eastAsia="仿宋"/>
          <w:sz w:val="32"/>
          <w:lang w:val="en-US" w:eastAsia="zh-CN"/>
        </w:rPr>
        <w:t>增加了全县地震应急避难场所、维护五里坡地震观测台运行环境及宣传培训服务所需资金、对蟠龙镇神南村一带开展加密监测经费与地震灾害综合风险普查经费等项目资金的支出与人员经费的增长</w:t>
      </w:r>
      <w:r>
        <w:rPr>
          <w:rFonts w:hint="eastAsia" w:ascii="仿宋" w:hAnsi="仿宋" w:eastAsia="仿宋"/>
          <w:sz w:val="32"/>
        </w:rPr>
        <w:t>。</w:t>
      </w:r>
      <w:r>
        <w:rPr>
          <w:rFonts w:hint="eastAsia" w:ascii="仿宋" w:hAnsi="仿宋" w:eastAsia="仿宋"/>
          <w:color w:val="auto"/>
          <w:sz w:val="32"/>
          <w:highlight w:val="none"/>
        </w:rPr>
        <w:t>其中，人员经费</w:t>
      </w:r>
      <w:r>
        <w:rPr>
          <w:rFonts w:hint="eastAsia" w:ascii="仿宋" w:hAnsi="仿宋" w:eastAsia="仿宋"/>
          <w:color w:val="auto"/>
          <w:sz w:val="32"/>
          <w:highlight w:val="none"/>
          <w:lang w:val="en-US" w:eastAsia="zh-CN"/>
        </w:rPr>
        <w:t>97.14</w:t>
      </w:r>
      <w:r>
        <w:rPr>
          <w:rFonts w:hint="eastAsia" w:ascii="仿宋" w:hAnsi="仿宋" w:eastAsia="仿宋"/>
          <w:color w:val="auto"/>
          <w:sz w:val="32"/>
          <w:highlight w:val="none"/>
        </w:rPr>
        <w:t>万元，占比</w:t>
      </w:r>
      <w:r>
        <w:rPr>
          <w:rFonts w:hint="eastAsia" w:ascii="仿宋" w:hAnsi="仿宋" w:eastAsia="仿宋"/>
          <w:color w:val="auto"/>
          <w:sz w:val="32"/>
          <w:highlight w:val="none"/>
          <w:lang w:val="en-US" w:eastAsia="zh-CN"/>
        </w:rPr>
        <w:t>46</w:t>
      </w:r>
      <w:r>
        <w:rPr>
          <w:rFonts w:hint="eastAsia" w:ascii="仿宋" w:hAnsi="仿宋" w:eastAsia="仿宋"/>
          <w:color w:val="auto"/>
          <w:sz w:val="32"/>
          <w:highlight w:val="none"/>
        </w:rPr>
        <w:t>%，日常公用经费</w:t>
      </w:r>
      <w:r>
        <w:rPr>
          <w:rFonts w:hint="eastAsia" w:ascii="仿宋" w:hAnsi="仿宋" w:eastAsia="仿宋"/>
          <w:color w:val="auto"/>
          <w:sz w:val="32"/>
          <w:highlight w:val="none"/>
          <w:lang w:val="en-US" w:eastAsia="zh-CN"/>
        </w:rPr>
        <w:t>113.82</w:t>
      </w:r>
      <w:r>
        <w:rPr>
          <w:rFonts w:hint="eastAsia" w:ascii="仿宋" w:hAnsi="仿宋" w:eastAsia="仿宋"/>
          <w:color w:val="auto"/>
          <w:sz w:val="32"/>
          <w:highlight w:val="none"/>
        </w:rPr>
        <w:t>万元，占比</w:t>
      </w:r>
      <w:r>
        <w:rPr>
          <w:rFonts w:hint="eastAsia" w:ascii="仿宋" w:hAnsi="仿宋" w:eastAsia="仿宋"/>
          <w:color w:val="auto"/>
          <w:sz w:val="32"/>
          <w:highlight w:val="none"/>
          <w:lang w:val="en-US" w:eastAsia="zh-CN"/>
        </w:rPr>
        <w:t>54</w:t>
      </w:r>
      <w:r>
        <w:rPr>
          <w:rFonts w:hint="eastAsia" w:ascii="仿宋" w:hAnsi="仿宋" w:eastAsia="仿宋"/>
          <w:color w:val="auto"/>
          <w:sz w:val="32"/>
          <w:highlight w:val="none"/>
        </w:rPr>
        <w:t>%。</w:t>
      </w:r>
    </w:p>
    <w:p>
      <w:pPr>
        <w:spacing w:line="580" w:lineRule="exact"/>
        <w:ind w:firstLine="643"/>
        <w:rPr>
          <w:rFonts w:ascii="仿宋" w:hAnsi="仿宋" w:eastAsia="仿宋"/>
        </w:rPr>
      </w:pPr>
      <w:r>
        <w:rPr>
          <w:rFonts w:hint="eastAsia" w:ascii="仿宋" w:hAnsi="仿宋" w:eastAsia="仿宋"/>
          <w:sz w:val="32"/>
        </w:rPr>
        <w:t>（二）财政拨款支出决算结构情况</w:t>
      </w:r>
    </w:p>
    <w:p>
      <w:pPr>
        <w:spacing w:line="580" w:lineRule="exact"/>
        <w:ind w:firstLine="640"/>
        <w:rPr>
          <w:rFonts w:hint="eastAsia" w:ascii="仿宋" w:hAnsi="仿宋" w:eastAsia="仿宋"/>
          <w:b/>
          <w:lang w:eastAsia="zh-CN"/>
        </w:rPr>
      </w:pPr>
      <w:r>
        <w:rPr>
          <w:rFonts w:hint="eastAsia" w:ascii="仿宋" w:hAnsi="仿宋" w:eastAsia="仿宋"/>
          <w:sz w:val="32"/>
        </w:rPr>
        <w:t>2022年度财政拨款支出</w:t>
      </w:r>
      <w:r>
        <w:rPr>
          <w:rFonts w:hint="eastAsia" w:ascii="仿宋" w:hAnsi="仿宋" w:eastAsia="仿宋"/>
          <w:sz w:val="32"/>
          <w:lang w:val="en-US" w:eastAsia="zh-CN"/>
        </w:rPr>
        <w:t>210.96</w:t>
      </w:r>
      <w:r>
        <w:rPr>
          <w:rFonts w:hint="eastAsia" w:ascii="仿宋" w:hAnsi="仿宋" w:eastAsia="仿宋"/>
          <w:sz w:val="32"/>
        </w:rPr>
        <w:t>万元，主要用于以下方面：</w:t>
      </w:r>
      <w:r>
        <w:rPr>
          <w:rFonts w:hint="eastAsia" w:ascii="仿宋" w:hAnsi="仿宋" w:eastAsia="仿宋"/>
          <w:b/>
          <w:sz w:val="32"/>
          <w:highlight w:val="none"/>
        </w:rPr>
        <w:t>社会保障和就业（类）</w:t>
      </w:r>
      <w:r>
        <w:rPr>
          <w:rFonts w:hint="eastAsia" w:ascii="仿宋" w:hAnsi="仿宋" w:eastAsia="仿宋"/>
          <w:sz w:val="32"/>
          <w:highlight w:val="none"/>
        </w:rPr>
        <w:t>支出</w:t>
      </w:r>
      <w:r>
        <w:rPr>
          <w:rFonts w:hint="eastAsia" w:ascii="仿宋" w:hAnsi="仿宋" w:eastAsia="仿宋"/>
          <w:sz w:val="32"/>
          <w:highlight w:val="none"/>
          <w:lang w:val="en-US" w:eastAsia="zh-CN"/>
        </w:rPr>
        <w:t>9.58</w:t>
      </w:r>
      <w:r>
        <w:rPr>
          <w:rFonts w:hint="eastAsia" w:ascii="仿宋" w:hAnsi="仿宋" w:eastAsia="仿宋"/>
          <w:sz w:val="32"/>
          <w:highlight w:val="none"/>
        </w:rPr>
        <w:t>万元，占</w:t>
      </w:r>
      <w:r>
        <w:rPr>
          <w:rFonts w:hint="eastAsia" w:ascii="仿宋" w:hAnsi="仿宋" w:eastAsia="仿宋"/>
          <w:sz w:val="32"/>
          <w:highlight w:val="none"/>
          <w:lang w:val="en-US" w:eastAsia="zh-CN"/>
        </w:rPr>
        <w:t>4.6</w:t>
      </w:r>
      <w:r>
        <w:rPr>
          <w:rFonts w:hint="eastAsia" w:ascii="仿宋" w:hAnsi="仿宋" w:eastAsia="仿宋"/>
          <w:sz w:val="32"/>
          <w:highlight w:val="none"/>
        </w:rPr>
        <w:t>%；</w:t>
      </w:r>
      <w:r>
        <w:rPr>
          <w:rFonts w:hint="eastAsia" w:ascii="仿宋" w:hAnsi="仿宋" w:eastAsia="仿宋"/>
          <w:b/>
          <w:sz w:val="32"/>
          <w:highlight w:val="none"/>
        </w:rPr>
        <w:t>卫生健康（类）</w:t>
      </w:r>
      <w:r>
        <w:rPr>
          <w:rFonts w:hint="eastAsia" w:ascii="仿宋" w:hAnsi="仿宋" w:eastAsia="仿宋"/>
          <w:sz w:val="32"/>
          <w:highlight w:val="none"/>
        </w:rPr>
        <w:t>支出</w:t>
      </w:r>
      <w:r>
        <w:rPr>
          <w:rFonts w:hint="eastAsia" w:ascii="仿宋" w:hAnsi="仿宋" w:eastAsia="仿宋"/>
          <w:sz w:val="32"/>
          <w:highlight w:val="none"/>
          <w:lang w:val="en-US" w:eastAsia="zh-CN"/>
        </w:rPr>
        <w:t>4.30</w:t>
      </w:r>
      <w:r>
        <w:rPr>
          <w:rFonts w:hint="eastAsia" w:ascii="仿宋" w:hAnsi="仿宋" w:eastAsia="仿宋"/>
          <w:sz w:val="32"/>
          <w:highlight w:val="none"/>
        </w:rPr>
        <w:t>万元，占</w:t>
      </w:r>
      <w:r>
        <w:rPr>
          <w:rFonts w:hint="eastAsia" w:ascii="仿宋" w:hAnsi="仿宋" w:eastAsia="仿宋"/>
          <w:sz w:val="32"/>
          <w:highlight w:val="none"/>
          <w:lang w:val="en-US" w:eastAsia="zh-CN"/>
        </w:rPr>
        <w:t>2</w:t>
      </w:r>
      <w:r>
        <w:rPr>
          <w:rFonts w:hint="eastAsia" w:ascii="仿宋" w:hAnsi="仿宋" w:eastAsia="仿宋"/>
          <w:sz w:val="32"/>
          <w:highlight w:val="none"/>
        </w:rPr>
        <w:t>%；</w:t>
      </w:r>
      <w:r>
        <w:rPr>
          <w:rFonts w:hint="eastAsia" w:ascii="仿宋" w:hAnsi="仿宋" w:eastAsia="仿宋"/>
          <w:b/>
          <w:sz w:val="32"/>
          <w:highlight w:val="none"/>
        </w:rPr>
        <w:t>住房保障（类）</w:t>
      </w:r>
      <w:r>
        <w:rPr>
          <w:rFonts w:hint="eastAsia" w:ascii="仿宋" w:hAnsi="仿宋" w:eastAsia="仿宋"/>
          <w:sz w:val="32"/>
          <w:highlight w:val="none"/>
        </w:rPr>
        <w:t>支出</w:t>
      </w:r>
      <w:r>
        <w:rPr>
          <w:rFonts w:hint="eastAsia" w:ascii="仿宋" w:hAnsi="仿宋" w:eastAsia="仿宋"/>
          <w:sz w:val="32"/>
          <w:highlight w:val="none"/>
          <w:lang w:val="en-US" w:eastAsia="zh-CN"/>
        </w:rPr>
        <w:t>8.48</w:t>
      </w:r>
      <w:r>
        <w:rPr>
          <w:rFonts w:hint="eastAsia" w:ascii="仿宋" w:hAnsi="仿宋" w:eastAsia="仿宋"/>
          <w:sz w:val="32"/>
          <w:highlight w:val="none"/>
        </w:rPr>
        <w:t>万元，占</w:t>
      </w:r>
      <w:r>
        <w:rPr>
          <w:rFonts w:hint="eastAsia" w:ascii="仿宋" w:hAnsi="仿宋" w:eastAsia="仿宋"/>
          <w:sz w:val="32"/>
          <w:highlight w:val="none"/>
          <w:lang w:val="en-US" w:eastAsia="zh-CN"/>
        </w:rPr>
        <w:t>4</w:t>
      </w:r>
      <w:r>
        <w:rPr>
          <w:rFonts w:hint="eastAsia" w:ascii="仿宋" w:hAnsi="仿宋" w:eastAsia="仿宋"/>
          <w:sz w:val="32"/>
          <w:highlight w:val="none"/>
        </w:rPr>
        <w:t>%；</w:t>
      </w:r>
      <w:r>
        <w:rPr>
          <w:rFonts w:hint="eastAsia" w:ascii="仿宋" w:hAnsi="仿宋" w:eastAsia="仿宋"/>
          <w:b/>
          <w:sz w:val="32"/>
          <w:highlight w:val="none"/>
        </w:rPr>
        <w:t>灾害防治及应急管理（类）</w:t>
      </w:r>
      <w:r>
        <w:rPr>
          <w:rFonts w:hint="eastAsia" w:ascii="仿宋" w:hAnsi="仿宋" w:eastAsia="仿宋"/>
          <w:sz w:val="32"/>
          <w:highlight w:val="none"/>
        </w:rPr>
        <w:t>支出</w:t>
      </w:r>
      <w:r>
        <w:rPr>
          <w:rFonts w:hint="eastAsia" w:ascii="仿宋" w:hAnsi="仿宋" w:eastAsia="仿宋"/>
          <w:sz w:val="32"/>
          <w:highlight w:val="none"/>
          <w:lang w:val="en-US" w:eastAsia="zh-CN"/>
        </w:rPr>
        <w:t>188.60</w:t>
      </w:r>
      <w:r>
        <w:rPr>
          <w:rFonts w:hint="eastAsia" w:ascii="仿宋" w:hAnsi="仿宋" w:eastAsia="仿宋"/>
          <w:sz w:val="32"/>
          <w:highlight w:val="none"/>
        </w:rPr>
        <w:t>万元，占</w:t>
      </w:r>
      <w:r>
        <w:rPr>
          <w:rFonts w:hint="eastAsia" w:ascii="仿宋" w:hAnsi="仿宋" w:eastAsia="仿宋"/>
          <w:sz w:val="32"/>
          <w:highlight w:val="none"/>
          <w:lang w:val="en-US" w:eastAsia="zh-CN"/>
        </w:rPr>
        <w:t>89.4</w:t>
      </w:r>
      <w:r>
        <w:rPr>
          <w:rFonts w:hint="eastAsia" w:ascii="仿宋" w:hAnsi="仿宋" w:eastAsia="仿宋"/>
          <w:sz w:val="32"/>
          <w:highlight w:val="none"/>
        </w:rPr>
        <w:t>%</w:t>
      </w:r>
      <w:r>
        <w:rPr>
          <w:rFonts w:hint="eastAsia" w:ascii="仿宋" w:hAnsi="仿宋" w:eastAsia="仿宋"/>
          <w:sz w:val="32"/>
          <w:highlight w:val="none"/>
          <w:lang w:eastAsia="zh-CN"/>
        </w:rPr>
        <w:t>。</w:t>
      </w:r>
    </w:p>
    <w:p>
      <w:pPr>
        <w:spacing w:line="580" w:lineRule="exact"/>
        <w:ind w:firstLine="643"/>
        <w:rPr>
          <w:rFonts w:ascii="仿宋" w:hAnsi="仿宋" w:eastAsia="仿宋"/>
        </w:rPr>
      </w:pPr>
      <w:r>
        <w:rPr>
          <w:rFonts w:hint="eastAsia" w:ascii="仿宋" w:hAnsi="仿宋" w:eastAsia="仿宋"/>
          <w:sz w:val="32"/>
        </w:rPr>
        <w:t>（三）财政拨款支出决算具体情况</w:t>
      </w:r>
    </w:p>
    <w:p>
      <w:pPr>
        <w:spacing w:line="580" w:lineRule="exact"/>
        <w:ind w:firstLine="640"/>
        <w:rPr>
          <w:rFonts w:ascii="仿宋" w:hAnsi="仿宋" w:eastAsia="仿宋"/>
          <w:highlight w:val="none"/>
        </w:rPr>
      </w:pPr>
      <w:r>
        <w:rPr>
          <w:rFonts w:hint="eastAsia" w:ascii="仿宋" w:hAnsi="仿宋" w:eastAsia="仿宋"/>
          <w:sz w:val="32"/>
          <w:highlight w:val="none"/>
        </w:rPr>
        <w:t>2022年度财政拨款支出年初预算</w:t>
      </w:r>
      <w:r>
        <w:rPr>
          <w:rFonts w:hint="eastAsia" w:ascii="仿宋" w:hAnsi="仿宋" w:eastAsia="仿宋"/>
          <w:sz w:val="32"/>
          <w:highlight w:val="none"/>
          <w:lang w:val="en-US" w:eastAsia="zh-CN"/>
        </w:rPr>
        <w:t>108.38</w:t>
      </w:r>
      <w:r>
        <w:rPr>
          <w:rFonts w:hint="eastAsia" w:ascii="仿宋" w:hAnsi="仿宋" w:eastAsia="仿宋"/>
          <w:sz w:val="32"/>
          <w:highlight w:val="none"/>
        </w:rPr>
        <w:t>万元，支出决算</w:t>
      </w:r>
      <w:r>
        <w:rPr>
          <w:rFonts w:hint="eastAsia" w:ascii="仿宋" w:hAnsi="仿宋" w:eastAsia="仿宋"/>
          <w:sz w:val="32"/>
          <w:highlight w:val="none"/>
          <w:lang w:val="en-US" w:eastAsia="zh-CN"/>
        </w:rPr>
        <w:t>210.96</w:t>
      </w:r>
      <w:r>
        <w:rPr>
          <w:rFonts w:hint="eastAsia" w:ascii="仿宋" w:hAnsi="仿宋" w:eastAsia="仿宋"/>
          <w:sz w:val="32"/>
          <w:highlight w:val="none"/>
        </w:rPr>
        <w:t>万元，完成年初预算的</w:t>
      </w:r>
      <w:r>
        <w:rPr>
          <w:rFonts w:hint="eastAsia" w:ascii="仿宋" w:hAnsi="仿宋" w:eastAsia="仿宋"/>
          <w:sz w:val="32"/>
          <w:highlight w:val="none"/>
          <w:lang w:val="en-US" w:eastAsia="zh-CN"/>
        </w:rPr>
        <w:t>194.65</w:t>
      </w:r>
      <w:r>
        <w:rPr>
          <w:rFonts w:ascii="仿宋" w:hAnsi="仿宋" w:eastAsia="仿宋"/>
          <w:sz w:val="32"/>
          <w:highlight w:val="none"/>
        </w:rPr>
        <w:t>%</w:t>
      </w:r>
      <w:r>
        <w:rPr>
          <w:rFonts w:hint="eastAsia" w:ascii="仿宋" w:hAnsi="仿宋" w:eastAsia="仿宋"/>
          <w:sz w:val="32"/>
          <w:highlight w:val="none"/>
        </w:rPr>
        <w:t>。其中：</w:t>
      </w:r>
    </w:p>
    <w:p>
      <w:pPr>
        <w:numPr>
          <w:ilvl w:val="0"/>
          <w:numId w:val="3"/>
        </w:numPr>
        <w:spacing w:line="580" w:lineRule="exact"/>
        <w:ind w:firstLine="640"/>
        <w:rPr>
          <w:rFonts w:hint="eastAsia" w:ascii="仿宋" w:hAnsi="仿宋" w:eastAsia="仿宋"/>
          <w:sz w:val="32"/>
          <w:highlight w:val="none"/>
          <w:lang w:val="en-US" w:eastAsia="zh-CN"/>
        </w:rPr>
      </w:pPr>
      <w:r>
        <w:rPr>
          <w:rFonts w:hint="eastAsia" w:ascii="仿宋" w:hAnsi="仿宋" w:eastAsia="仿宋"/>
          <w:sz w:val="32"/>
          <w:highlight w:val="none"/>
          <w:lang w:val="en-US" w:eastAsia="zh-CN"/>
        </w:rPr>
        <w:t>一般公共服务支出年初预算与支出决算都为0万元，较2021年减少了1.05万元，下降100%，主要原因为：2022年未发放目标考核奖。</w:t>
      </w:r>
    </w:p>
    <w:p>
      <w:pPr>
        <w:numPr>
          <w:ilvl w:val="0"/>
          <w:numId w:val="3"/>
        </w:numPr>
        <w:spacing w:line="580" w:lineRule="exact"/>
        <w:ind w:firstLine="640"/>
        <w:rPr>
          <w:rFonts w:hint="default" w:ascii="仿宋" w:hAnsi="仿宋" w:eastAsia="仿宋"/>
          <w:sz w:val="32"/>
          <w:highlight w:val="none"/>
          <w:lang w:val="en-US" w:eastAsia="zh-CN"/>
        </w:rPr>
      </w:pPr>
      <w:r>
        <w:rPr>
          <w:rFonts w:hint="default" w:ascii="仿宋" w:hAnsi="仿宋" w:eastAsia="仿宋"/>
          <w:sz w:val="32"/>
          <w:highlight w:val="none"/>
          <w:lang w:val="en-US" w:eastAsia="zh-CN"/>
        </w:rPr>
        <w:t>社会保障和就业支出</w:t>
      </w:r>
      <w:r>
        <w:rPr>
          <w:rFonts w:hint="eastAsia" w:ascii="仿宋" w:hAnsi="仿宋" w:eastAsia="仿宋"/>
          <w:sz w:val="32"/>
          <w:highlight w:val="none"/>
          <w:lang w:val="en-US" w:eastAsia="zh-CN"/>
        </w:rPr>
        <w:t>年初预算9.58万元，支出决算9.58万元，完成年初预算的100%，用于支付职工</w:t>
      </w:r>
      <w:r>
        <w:rPr>
          <w:rFonts w:hint="default" w:ascii="仿宋" w:hAnsi="仿宋" w:eastAsia="仿宋"/>
          <w:sz w:val="32"/>
          <w:highlight w:val="none"/>
          <w:lang w:val="en-US" w:eastAsia="zh-CN"/>
        </w:rPr>
        <w:t>社会保障和就业</w:t>
      </w:r>
      <w:r>
        <w:rPr>
          <w:rFonts w:hint="eastAsia" w:ascii="仿宋" w:hAnsi="仿宋" w:eastAsia="仿宋"/>
          <w:sz w:val="32"/>
          <w:highlight w:val="none"/>
          <w:lang w:val="en-US" w:eastAsia="zh-CN"/>
        </w:rPr>
        <w:t>费用，较2021年决断增加了1.09万元，增长11.4%，主要原因职工</w:t>
      </w:r>
      <w:r>
        <w:rPr>
          <w:rFonts w:hint="default" w:ascii="仿宋" w:hAnsi="仿宋" w:eastAsia="仿宋"/>
          <w:sz w:val="32"/>
          <w:highlight w:val="none"/>
          <w:lang w:val="en-US" w:eastAsia="zh-CN"/>
        </w:rPr>
        <w:t>社会保障和就业</w:t>
      </w:r>
      <w:r>
        <w:rPr>
          <w:rFonts w:hint="eastAsia" w:ascii="仿宋" w:hAnsi="仿宋" w:eastAsia="仿宋"/>
          <w:sz w:val="32"/>
          <w:highlight w:val="none"/>
          <w:lang w:val="en-US" w:eastAsia="zh-CN"/>
        </w:rPr>
        <w:t>费用基数调整。</w:t>
      </w:r>
    </w:p>
    <w:p>
      <w:pPr>
        <w:numPr>
          <w:ilvl w:val="0"/>
          <w:numId w:val="3"/>
        </w:numPr>
        <w:spacing w:line="580" w:lineRule="exact"/>
        <w:ind w:firstLine="640"/>
        <w:rPr>
          <w:rFonts w:hint="default" w:ascii="仿宋" w:hAnsi="仿宋" w:eastAsia="仿宋"/>
          <w:sz w:val="32"/>
          <w:highlight w:val="none"/>
          <w:lang w:val="en-US" w:eastAsia="zh-CN"/>
        </w:rPr>
      </w:pPr>
      <w:r>
        <w:rPr>
          <w:rFonts w:hint="default" w:ascii="仿宋" w:hAnsi="仿宋" w:eastAsia="仿宋"/>
          <w:sz w:val="32"/>
          <w:highlight w:val="none"/>
          <w:lang w:val="en-US" w:eastAsia="zh-CN"/>
        </w:rPr>
        <w:t>卫生健康支出</w:t>
      </w:r>
      <w:r>
        <w:rPr>
          <w:rFonts w:hint="eastAsia" w:ascii="仿宋" w:hAnsi="仿宋" w:eastAsia="仿宋"/>
          <w:sz w:val="32"/>
          <w:highlight w:val="none"/>
          <w:lang w:val="en-US" w:eastAsia="zh-CN"/>
        </w:rPr>
        <w:t>年初预算4.30万元，支出决算4.30万元，完成年初预算的100%，用于支付职工卫生健康支出费用，较2021年决算增加了0.69万元，增长16%，主要原因职工</w:t>
      </w:r>
      <w:r>
        <w:rPr>
          <w:rFonts w:hint="default" w:ascii="仿宋" w:hAnsi="仿宋" w:eastAsia="仿宋"/>
          <w:sz w:val="32"/>
          <w:highlight w:val="none"/>
          <w:lang w:val="en-US" w:eastAsia="zh-CN"/>
        </w:rPr>
        <w:t>卫生健康</w:t>
      </w:r>
      <w:r>
        <w:rPr>
          <w:rFonts w:hint="eastAsia" w:ascii="仿宋" w:hAnsi="仿宋" w:eastAsia="仿宋"/>
          <w:sz w:val="32"/>
          <w:highlight w:val="none"/>
          <w:lang w:val="en-US" w:eastAsia="zh-CN"/>
        </w:rPr>
        <w:t>费用基数调整。</w:t>
      </w:r>
    </w:p>
    <w:p>
      <w:pPr>
        <w:numPr>
          <w:ilvl w:val="0"/>
          <w:numId w:val="3"/>
        </w:numPr>
        <w:spacing w:line="580" w:lineRule="exact"/>
        <w:ind w:firstLine="640"/>
        <w:rPr>
          <w:rFonts w:hint="default" w:ascii="仿宋" w:hAnsi="仿宋" w:eastAsia="仿宋"/>
          <w:sz w:val="32"/>
          <w:highlight w:val="none"/>
          <w:lang w:val="en-US" w:eastAsia="zh-CN"/>
        </w:rPr>
      </w:pPr>
      <w:r>
        <w:rPr>
          <w:rFonts w:hint="default" w:ascii="仿宋" w:hAnsi="仿宋" w:eastAsia="仿宋"/>
          <w:sz w:val="32"/>
          <w:highlight w:val="none"/>
          <w:lang w:val="en-US" w:eastAsia="zh-CN"/>
        </w:rPr>
        <w:t>住房保障支出</w:t>
      </w:r>
      <w:r>
        <w:rPr>
          <w:rFonts w:hint="eastAsia" w:ascii="仿宋" w:hAnsi="仿宋" w:eastAsia="仿宋"/>
          <w:sz w:val="32"/>
          <w:highlight w:val="none"/>
          <w:lang w:val="en-US" w:eastAsia="zh-CN"/>
        </w:rPr>
        <w:t>年初预算8.48万元，支出决算8.48万元，完成年初预算的100%，用于支付职工住房公积金费用，较2021年决算增加了2.11万元，增长24.8%，主要原因职工增加1人于职工住房公积金基数调整。</w:t>
      </w:r>
    </w:p>
    <w:p>
      <w:pPr>
        <w:numPr>
          <w:ilvl w:val="0"/>
          <w:numId w:val="3"/>
        </w:numPr>
        <w:spacing w:line="580" w:lineRule="exact"/>
        <w:ind w:left="0" w:leftChars="0" w:firstLine="640" w:firstLineChars="0"/>
        <w:rPr>
          <w:rFonts w:hint="eastAsia" w:ascii="仿宋" w:hAnsi="仿宋" w:eastAsia="仿宋"/>
          <w:sz w:val="32"/>
          <w:highlight w:val="none"/>
          <w:lang w:eastAsia="zh-CN"/>
        </w:rPr>
      </w:pPr>
      <w:r>
        <w:rPr>
          <w:rFonts w:hint="eastAsia" w:ascii="仿宋" w:hAnsi="仿宋" w:eastAsia="仿宋"/>
          <w:sz w:val="32"/>
          <w:highlight w:val="none"/>
        </w:rPr>
        <w:t>灾害防治及应急管理支出</w:t>
      </w:r>
      <w:r>
        <w:rPr>
          <w:rFonts w:hint="eastAsia" w:ascii="仿宋" w:hAnsi="仿宋" w:eastAsia="仿宋"/>
          <w:sz w:val="32"/>
          <w:highlight w:val="none"/>
          <w:lang w:val="en-US" w:eastAsia="zh-CN"/>
        </w:rPr>
        <w:t>年初预算86.02万元，支出决算86.02万元，完成年初预算的100%</w:t>
      </w:r>
      <w:r>
        <w:rPr>
          <w:rFonts w:hint="eastAsia" w:ascii="仿宋" w:hAnsi="仿宋" w:eastAsia="仿宋"/>
          <w:sz w:val="32"/>
          <w:highlight w:val="none"/>
          <w:lang w:eastAsia="zh-CN"/>
        </w:rPr>
        <w:t>，</w:t>
      </w:r>
      <w:r>
        <w:rPr>
          <w:rFonts w:hint="eastAsia" w:ascii="仿宋" w:hAnsi="仿宋" w:eastAsia="仿宋"/>
          <w:sz w:val="32"/>
          <w:highlight w:val="none"/>
          <w:lang w:val="en-US" w:eastAsia="zh-CN"/>
        </w:rPr>
        <w:t>用于相关项目的实施。较2021年决算增加了14.57</w:t>
      </w:r>
      <w:r>
        <w:rPr>
          <w:rFonts w:hint="eastAsia" w:ascii="仿宋" w:hAnsi="仿宋" w:eastAsia="仿宋"/>
          <w:sz w:val="32"/>
          <w:highlight w:val="none"/>
          <w:lang w:val="en-US" w:eastAsia="zh-CN"/>
        </w:rPr>
        <w:t>万元，增加了17%，</w:t>
      </w:r>
      <w:r>
        <w:rPr>
          <w:rFonts w:hint="eastAsia" w:ascii="仿宋" w:hAnsi="仿宋" w:eastAsia="仿宋"/>
          <w:sz w:val="32"/>
        </w:rPr>
        <w:t>主要原因是</w:t>
      </w:r>
      <w:r>
        <w:rPr>
          <w:rFonts w:hint="eastAsia" w:ascii="仿宋" w:hAnsi="仿宋" w:eastAsia="仿宋"/>
          <w:sz w:val="32"/>
          <w:lang w:val="en-US" w:eastAsia="zh-CN"/>
        </w:rPr>
        <w:t>增加了全县地震应急避难场所、维护五里坡地震观测台运行环境及宣传培训服务所需资金、对蟠龙镇神南村一带开展加密监测经费与地震灾害综合风险普查经费等项目资金的支出</w:t>
      </w:r>
      <w:r>
        <w:rPr>
          <w:rFonts w:hint="eastAsia" w:ascii="仿宋" w:hAnsi="仿宋" w:eastAsia="仿宋"/>
          <w:sz w:val="32"/>
          <w:highlight w:val="none"/>
          <w:lang w:eastAsia="zh-CN"/>
        </w:rPr>
        <w:t>。</w:t>
      </w:r>
    </w:p>
    <w:p>
      <w:pPr>
        <w:numPr>
          <w:ilvl w:val="0"/>
          <w:numId w:val="3"/>
        </w:numPr>
        <w:spacing w:line="580" w:lineRule="exact"/>
        <w:ind w:left="0" w:leftChars="0" w:firstLine="640" w:firstLineChars="0"/>
        <w:rPr>
          <w:rFonts w:hint="default" w:ascii="仿宋" w:hAnsi="仿宋" w:eastAsia="仿宋"/>
          <w:sz w:val="32"/>
          <w:highlight w:val="none"/>
          <w:lang w:val="en-US" w:eastAsia="zh-CN"/>
        </w:rPr>
      </w:pPr>
      <w:r>
        <w:rPr>
          <w:rFonts w:hint="eastAsia" w:ascii="仿宋" w:hAnsi="仿宋" w:eastAsia="仿宋"/>
          <w:sz w:val="32"/>
          <w:highlight w:val="none"/>
          <w:lang w:val="en-US" w:eastAsia="zh-CN"/>
        </w:rPr>
        <w:t>其他</w:t>
      </w:r>
      <w:r>
        <w:rPr>
          <w:rFonts w:hint="eastAsia" w:ascii="仿宋" w:hAnsi="仿宋" w:eastAsia="仿宋"/>
          <w:sz w:val="32"/>
          <w:highlight w:val="none"/>
        </w:rPr>
        <w:t>灾害防治及应急管理支出</w:t>
      </w:r>
      <w:r>
        <w:rPr>
          <w:rFonts w:hint="eastAsia" w:ascii="仿宋" w:hAnsi="仿宋" w:eastAsia="仿宋"/>
          <w:sz w:val="32"/>
          <w:highlight w:val="none"/>
          <w:lang w:val="en-US" w:eastAsia="zh-CN"/>
        </w:rPr>
        <w:t>年初预算20万元，支出决算17万元，完成年初预算的85%</w:t>
      </w:r>
      <w:r>
        <w:rPr>
          <w:rFonts w:hint="eastAsia" w:ascii="仿宋" w:hAnsi="仿宋" w:eastAsia="仿宋"/>
          <w:sz w:val="32"/>
          <w:highlight w:val="none"/>
          <w:lang w:eastAsia="zh-CN"/>
        </w:rPr>
        <w:t>，</w:t>
      </w:r>
      <w:r>
        <w:rPr>
          <w:rFonts w:hint="eastAsia" w:ascii="仿宋" w:hAnsi="仿宋" w:eastAsia="仿宋"/>
          <w:sz w:val="32"/>
          <w:highlight w:val="none"/>
          <w:lang w:val="en-US" w:eastAsia="zh-CN"/>
        </w:rPr>
        <w:t>用于项目的实施。较2021年决算增加了17万元，增加了100%，主要原因是2021年自然灾害防治体系建设补助资金的增加</w:t>
      </w:r>
      <w:r>
        <w:rPr>
          <w:rFonts w:hint="eastAsia" w:ascii="仿宋" w:hAnsi="仿宋" w:eastAsia="仿宋"/>
          <w:sz w:val="32"/>
          <w:highlight w:val="none"/>
          <w:lang w:eastAsia="zh-CN"/>
        </w:rPr>
        <w:t>。</w:t>
      </w:r>
    </w:p>
    <w:p>
      <w:pPr>
        <w:spacing w:line="580" w:lineRule="exact"/>
        <w:ind w:firstLine="643"/>
        <w:rPr>
          <w:rFonts w:ascii="楷体" w:hAnsi="楷体" w:eastAsia="楷体"/>
        </w:rPr>
      </w:pPr>
      <w:r>
        <w:rPr>
          <w:rFonts w:hint="eastAsia" w:ascii="楷体" w:hAnsi="楷体" w:eastAsia="楷体"/>
          <w:sz w:val="32"/>
        </w:rPr>
        <w:t>六、一般公共预算财政拨款基本支出决算情况说明</w:t>
      </w:r>
    </w:p>
    <w:p>
      <w:pPr>
        <w:spacing w:line="580" w:lineRule="exact"/>
        <w:ind w:firstLine="640"/>
        <w:rPr>
          <w:rFonts w:ascii="仿宋" w:hAnsi="仿宋" w:eastAsia="仿宋"/>
        </w:rPr>
      </w:pPr>
      <w:r>
        <w:rPr>
          <w:rFonts w:hint="eastAsia" w:ascii="仿宋" w:hAnsi="仿宋" w:eastAsia="仿宋"/>
          <w:sz w:val="32"/>
        </w:rPr>
        <w:t>2022年度财政拨款基本支出</w:t>
      </w:r>
      <w:r>
        <w:rPr>
          <w:rFonts w:hint="eastAsia" w:ascii="仿宋" w:hAnsi="仿宋" w:eastAsia="仿宋"/>
          <w:sz w:val="32"/>
          <w:lang w:val="en-US" w:eastAsia="zh-CN"/>
        </w:rPr>
        <w:t>210.96</w:t>
      </w:r>
      <w:r>
        <w:rPr>
          <w:rFonts w:hint="eastAsia" w:ascii="仿宋" w:hAnsi="仿宋" w:eastAsia="仿宋"/>
          <w:sz w:val="32"/>
        </w:rPr>
        <w:t>万元，其中：人员经费</w:t>
      </w:r>
      <w:r>
        <w:rPr>
          <w:rFonts w:hint="eastAsia" w:ascii="仿宋" w:hAnsi="仿宋" w:eastAsia="仿宋"/>
          <w:sz w:val="32"/>
          <w:lang w:val="en-US" w:eastAsia="zh-CN"/>
        </w:rPr>
        <w:t>97.14</w:t>
      </w:r>
      <w:r>
        <w:rPr>
          <w:rFonts w:hint="eastAsia" w:ascii="仿宋" w:hAnsi="仿宋" w:eastAsia="仿宋"/>
          <w:sz w:val="32"/>
        </w:rPr>
        <w:t>万元，主要</w:t>
      </w:r>
      <w:r>
        <w:rPr>
          <w:rFonts w:hint="eastAsia" w:ascii="仿宋" w:hAnsi="仿宋" w:eastAsia="仿宋"/>
          <w:sz w:val="32"/>
          <w:lang w:val="en-US" w:eastAsia="zh-CN"/>
        </w:rPr>
        <w:t>包括工资福利和对个人家庭补助等</w:t>
      </w:r>
      <w:r>
        <w:rPr>
          <w:rFonts w:hint="eastAsia" w:ascii="仿宋" w:hAnsi="仿宋" w:eastAsia="仿宋"/>
          <w:sz w:val="32"/>
        </w:rPr>
        <w:t>；公用经费</w:t>
      </w:r>
      <w:r>
        <w:rPr>
          <w:rFonts w:hint="eastAsia" w:ascii="仿宋" w:hAnsi="仿宋" w:eastAsia="仿宋"/>
          <w:sz w:val="32"/>
          <w:lang w:val="en-US" w:eastAsia="zh-CN"/>
        </w:rPr>
        <w:t>113.82</w:t>
      </w:r>
      <w:r>
        <w:rPr>
          <w:rFonts w:hint="eastAsia" w:ascii="仿宋" w:hAnsi="仿宋" w:eastAsia="仿宋"/>
          <w:sz w:val="32"/>
        </w:rPr>
        <w:t>万元，主要包括</w:t>
      </w:r>
      <w:r>
        <w:rPr>
          <w:rFonts w:hint="eastAsia" w:ascii="仿宋" w:hAnsi="仿宋" w:eastAsia="仿宋"/>
          <w:sz w:val="32"/>
          <w:lang w:val="en-US" w:eastAsia="zh-CN"/>
        </w:rPr>
        <w:t>商品和服务支出和资本性支出等</w:t>
      </w:r>
      <w:r>
        <w:rPr>
          <w:rFonts w:hint="eastAsia" w:ascii="仿宋" w:hAnsi="仿宋" w:eastAsia="仿宋"/>
          <w:sz w:val="32"/>
        </w:rPr>
        <w:t>。</w:t>
      </w:r>
    </w:p>
    <w:p>
      <w:pPr>
        <w:spacing w:line="580" w:lineRule="exact"/>
        <w:ind w:firstLine="643"/>
        <w:outlineLvl w:val="0"/>
        <w:rPr>
          <w:rFonts w:ascii="楷体" w:hAnsi="楷体" w:eastAsia="楷体"/>
        </w:rPr>
      </w:pPr>
      <w:r>
        <w:rPr>
          <w:rFonts w:hint="eastAsia" w:ascii="楷体" w:hAnsi="楷体" w:eastAsia="楷体"/>
          <w:sz w:val="32"/>
        </w:rPr>
        <w:t>七、一般公共预算财政拨款“三公”经费支出决算情况说明</w:t>
      </w:r>
    </w:p>
    <w:p>
      <w:pPr>
        <w:spacing w:line="580" w:lineRule="exact"/>
        <w:ind w:firstLine="640"/>
        <w:rPr>
          <w:rFonts w:ascii="仿宋" w:hAnsi="仿宋" w:eastAsia="仿宋"/>
        </w:rPr>
      </w:pPr>
      <w:r>
        <w:rPr>
          <w:rFonts w:hint="eastAsia" w:ascii="仿宋" w:hAnsi="仿宋" w:eastAsia="仿宋"/>
          <w:sz w:val="32"/>
        </w:rPr>
        <w:t>（一）“三公”经费财政拨款支出决算总体情况说明</w:t>
      </w:r>
    </w:p>
    <w:p>
      <w:pPr>
        <w:spacing w:line="580" w:lineRule="exact"/>
        <w:ind w:firstLine="640"/>
        <w:rPr>
          <w:rFonts w:hint="default" w:ascii="仿宋" w:hAnsi="仿宋" w:eastAsia="仿宋"/>
          <w:sz w:val="32"/>
          <w:lang w:val="en-US" w:eastAsia="zh-CN"/>
        </w:rPr>
      </w:pPr>
      <w:r>
        <w:rPr>
          <w:rFonts w:hint="eastAsia" w:ascii="仿宋" w:hAnsi="仿宋" w:eastAsia="仿宋"/>
          <w:sz w:val="32"/>
          <w:lang w:val="en-US" w:eastAsia="zh-CN"/>
        </w:rPr>
        <w:t>本单位没有三公经费支出项目。</w:t>
      </w:r>
    </w:p>
    <w:p>
      <w:pPr>
        <w:spacing w:line="580" w:lineRule="exact"/>
        <w:ind w:firstLine="640"/>
        <w:rPr>
          <w:rFonts w:ascii="仿宋" w:hAnsi="仿宋" w:eastAsia="仿宋"/>
        </w:rPr>
      </w:pPr>
      <w:r>
        <w:rPr>
          <w:rFonts w:hint="eastAsia" w:ascii="仿宋" w:hAnsi="仿宋" w:eastAsia="仿宋"/>
          <w:sz w:val="32"/>
        </w:rPr>
        <w:t>（二）“三公”经费财政拨款支出决算具体情况说明</w:t>
      </w:r>
    </w:p>
    <w:p>
      <w:pPr>
        <w:ind w:firstLine="641"/>
        <w:rPr>
          <w:rFonts w:ascii="华文仿宋" w:hAnsi="华文仿宋" w:eastAsia="华文仿宋"/>
          <w:b/>
          <w:bCs/>
        </w:rPr>
      </w:pPr>
      <w:r>
        <w:rPr>
          <w:rFonts w:hint="eastAsia" w:ascii="仿宋" w:hAnsi="仿宋" w:eastAsia="仿宋"/>
          <w:sz w:val="32"/>
          <w:lang w:val="en-US" w:eastAsia="zh-CN"/>
        </w:rPr>
        <w:t>本单位没有三公经费支出项目。</w:t>
      </w:r>
    </w:p>
    <w:p>
      <w:pPr>
        <w:spacing w:line="580" w:lineRule="exact"/>
        <w:ind w:firstLine="643"/>
        <w:rPr>
          <w:rFonts w:ascii="楷体" w:hAnsi="楷体" w:eastAsia="楷体"/>
        </w:rPr>
      </w:pPr>
      <w:r>
        <w:rPr>
          <w:rFonts w:hint="eastAsia" w:ascii="楷体" w:hAnsi="楷体" w:eastAsia="楷体"/>
          <w:sz w:val="32"/>
        </w:rPr>
        <w:t>八、其他重要事项情况说明</w:t>
      </w:r>
    </w:p>
    <w:p>
      <w:pPr>
        <w:spacing w:line="580" w:lineRule="exact"/>
        <w:ind w:firstLine="643"/>
        <w:outlineLvl w:val="0"/>
        <w:rPr>
          <w:rFonts w:ascii="仿宋" w:hAnsi="仿宋" w:eastAsia="仿宋"/>
        </w:rPr>
      </w:pPr>
      <w:r>
        <w:rPr>
          <w:rFonts w:hint="eastAsia" w:ascii="仿宋" w:hAnsi="仿宋" w:eastAsia="仿宋"/>
          <w:sz w:val="32"/>
        </w:rPr>
        <w:t>（一）机关运行经费支出情况说明</w:t>
      </w:r>
    </w:p>
    <w:p>
      <w:pPr>
        <w:spacing w:line="580" w:lineRule="exact"/>
        <w:ind w:firstLine="640"/>
        <w:rPr>
          <w:rFonts w:ascii="仿宋" w:hAnsi="仿宋" w:eastAsia="仿宋"/>
          <w:b/>
        </w:rPr>
      </w:pPr>
      <w:r>
        <w:rPr>
          <w:rFonts w:hint="eastAsia" w:ascii="仿宋" w:hAnsi="仿宋" w:eastAsia="仿宋"/>
          <w:sz w:val="32"/>
        </w:rPr>
        <w:t>2022年机关运行经费支出</w:t>
      </w:r>
      <w:r>
        <w:rPr>
          <w:rFonts w:hint="eastAsia" w:ascii="仿宋" w:hAnsi="仿宋" w:eastAsia="仿宋"/>
          <w:sz w:val="32"/>
          <w:lang w:val="en-US" w:eastAsia="zh-CN"/>
        </w:rPr>
        <w:t>11.24</w:t>
      </w:r>
      <w:r>
        <w:rPr>
          <w:rFonts w:hint="eastAsia" w:ascii="仿宋" w:hAnsi="仿宋" w:eastAsia="仿宋"/>
          <w:sz w:val="32"/>
        </w:rPr>
        <w:t>万元，比2021年</w:t>
      </w:r>
      <w:r>
        <w:rPr>
          <w:rFonts w:hint="eastAsia" w:ascii="仿宋" w:hAnsi="仿宋" w:eastAsia="仿宋"/>
          <w:sz w:val="32"/>
          <w:lang w:val="en-US" w:eastAsia="zh-CN"/>
        </w:rPr>
        <w:t>减少0.23</w:t>
      </w:r>
      <w:r>
        <w:rPr>
          <w:rFonts w:hint="eastAsia" w:ascii="仿宋" w:hAnsi="仿宋" w:eastAsia="仿宋"/>
          <w:sz w:val="32"/>
        </w:rPr>
        <w:t>万元，</w:t>
      </w:r>
      <w:r>
        <w:rPr>
          <w:rFonts w:hint="eastAsia" w:ascii="仿宋" w:hAnsi="仿宋" w:eastAsia="仿宋"/>
          <w:sz w:val="32"/>
          <w:lang w:val="en-US" w:eastAsia="zh-CN"/>
        </w:rPr>
        <w:t>减少2</w:t>
      </w:r>
      <w:r>
        <w:rPr>
          <w:rFonts w:hint="eastAsia" w:ascii="仿宋" w:hAnsi="仿宋" w:eastAsia="仿宋"/>
          <w:sz w:val="32"/>
        </w:rPr>
        <w:t>%。主要原因是：</w:t>
      </w:r>
      <w:r>
        <w:rPr>
          <w:rFonts w:hint="eastAsia" w:ascii="仿宋" w:hAnsi="仿宋" w:eastAsia="仿宋"/>
          <w:sz w:val="32"/>
          <w:lang w:val="en-US" w:eastAsia="zh-CN"/>
        </w:rPr>
        <w:t>办公费减少。</w:t>
      </w:r>
    </w:p>
    <w:p>
      <w:pPr>
        <w:spacing w:line="580" w:lineRule="exact"/>
        <w:ind w:firstLine="643"/>
        <w:outlineLvl w:val="0"/>
        <w:rPr>
          <w:rFonts w:ascii="仿宋" w:hAnsi="仿宋" w:eastAsia="仿宋"/>
        </w:rPr>
      </w:pPr>
      <w:r>
        <w:rPr>
          <w:rFonts w:hint="eastAsia" w:ascii="仿宋" w:hAnsi="仿宋" w:eastAsia="仿宋"/>
          <w:sz w:val="32"/>
        </w:rPr>
        <w:t>（二）政府采购情况说明</w:t>
      </w:r>
    </w:p>
    <w:p>
      <w:pPr>
        <w:spacing w:line="580" w:lineRule="exact"/>
        <w:ind w:firstLine="640"/>
        <w:rPr>
          <w:rFonts w:hint="eastAsia" w:ascii="仿宋" w:hAnsi="仿宋" w:eastAsia="仿宋"/>
          <w:lang w:val="en-US" w:eastAsia="zh-CN"/>
        </w:rPr>
      </w:pPr>
      <w:r>
        <w:rPr>
          <w:rFonts w:hint="eastAsia" w:ascii="仿宋" w:hAnsi="仿宋" w:eastAsia="仿宋"/>
          <w:sz w:val="32"/>
        </w:rPr>
        <w:t>2022年度政府采购支出总额</w:t>
      </w:r>
      <w:r>
        <w:rPr>
          <w:rFonts w:hint="eastAsia" w:ascii="仿宋" w:hAnsi="仿宋" w:eastAsia="仿宋"/>
          <w:sz w:val="32"/>
          <w:lang w:val="en-US" w:eastAsia="zh-CN"/>
        </w:rPr>
        <w:t>24.94</w:t>
      </w:r>
      <w:r>
        <w:rPr>
          <w:rFonts w:hint="eastAsia" w:ascii="仿宋" w:hAnsi="仿宋" w:eastAsia="仿宋"/>
          <w:sz w:val="32"/>
        </w:rPr>
        <w:t>万元，其中：政府采购货物支出</w:t>
      </w:r>
      <w:r>
        <w:rPr>
          <w:rFonts w:hint="eastAsia" w:ascii="仿宋" w:hAnsi="仿宋" w:eastAsia="仿宋"/>
          <w:sz w:val="32"/>
          <w:lang w:val="en-US" w:eastAsia="zh-CN"/>
        </w:rPr>
        <w:t>7.94</w:t>
      </w:r>
      <w:r>
        <w:rPr>
          <w:rFonts w:hint="eastAsia" w:ascii="仿宋" w:hAnsi="仿宋" w:eastAsia="仿宋"/>
          <w:sz w:val="32"/>
        </w:rPr>
        <w:t>万元</w:t>
      </w:r>
      <w:r>
        <w:rPr>
          <w:rFonts w:hint="eastAsia" w:ascii="仿宋" w:hAnsi="仿宋" w:eastAsia="仿宋"/>
          <w:sz w:val="32"/>
          <w:lang w:eastAsia="zh-CN"/>
        </w:rPr>
        <w:t>，</w:t>
      </w:r>
      <w:r>
        <w:rPr>
          <w:rFonts w:hint="eastAsia" w:ascii="仿宋" w:hAnsi="仿宋" w:eastAsia="仿宋"/>
          <w:sz w:val="32"/>
        </w:rPr>
        <w:t>政府采购服务支出</w:t>
      </w:r>
      <w:r>
        <w:rPr>
          <w:rFonts w:hint="eastAsia" w:ascii="仿宋" w:hAnsi="仿宋" w:eastAsia="仿宋"/>
          <w:sz w:val="32"/>
          <w:lang w:val="en-US" w:eastAsia="zh-CN"/>
        </w:rPr>
        <w:t>17</w:t>
      </w:r>
      <w:r>
        <w:rPr>
          <w:rFonts w:hint="eastAsia" w:ascii="仿宋" w:hAnsi="仿宋" w:eastAsia="仿宋"/>
          <w:sz w:val="32"/>
        </w:rPr>
        <w:t>万元。政府采购授予中小企业合同金额</w:t>
      </w:r>
      <w:r>
        <w:rPr>
          <w:rFonts w:hint="eastAsia" w:ascii="仿宋" w:hAnsi="仿宋" w:eastAsia="仿宋"/>
          <w:sz w:val="32"/>
          <w:lang w:val="en-US" w:eastAsia="zh-CN"/>
        </w:rPr>
        <w:t>7.94</w:t>
      </w:r>
      <w:r>
        <w:rPr>
          <w:rFonts w:hint="eastAsia" w:ascii="仿宋" w:hAnsi="仿宋" w:eastAsia="仿宋"/>
          <w:sz w:val="32"/>
        </w:rPr>
        <w:t>万元，占政府采购支出总额的</w:t>
      </w:r>
      <w:r>
        <w:rPr>
          <w:rFonts w:hint="eastAsia" w:ascii="仿宋" w:hAnsi="仿宋" w:eastAsia="仿宋"/>
          <w:sz w:val="32"/>
          <w:lang w:val="en-US" w:eastAsia="zh-CN"/>
        </w:rPr>
        <w:t>31.9</w:t>
      </w:r>
      <w:r>
        <w:rPr>
          <w:rFonts w:hint="eastAsia" w:ascii="仿宋" w:hAnsi="仿宋" w:eastAsia="仿宋"/>
          <w:sz w:val="32"/>
        </w:rPr>
        <w:t>%。</w:t>
      </w:r>
    </w:p>
    <w:p>
      <w:pPr>
        <w:spacing w:line="580" w:lineRule="exact"/>
        <w:ind w:firstLine="515" w:firstLineChars="161"/>
        <w:outlineLvl w:val="0"/>
        <w:rPr>
          <w:rFonts w:ascii="仿宋" w:hAnsi="仿宋" w:eastAsia="仿宋"/>
        </w:rPr>
      </w:pPr>
      <w:r>
        <w:rPr>
          <w:rFonts w:hint="eastAsia" w:ascii="仿宋" w:hAnsi="仿宋" w:eastAsia="仿宋"/>
          <w:sz w:val="32"/>
        </w:rPr>
        <w:t>（三）国有资产占用情况说明</w:t>
      </w:r>
    </w:p>
    <w:p>
      <w:pPr>
        <w:spacing w:line="580" w:lineRule="exact"/>
        <w:ind w:firstLine="1468" w:firstLineChars="459"/>
        <w:outlineLvl w:val="0"/>
        <w:rPr>
          <w:rFonts w:hint="eastAsia" w:ascii="仿宋" w:hAnsi="仿宋" w:eastAsia="仿宋"/>
          <w:sz w:val="32"/>
          <w:lang w:val="en-US" w:eastAsia="zh-CN"/>
        </w:rPr>
      </w:pPr>
      <w:r>
        <w:rPr>
          <w:rFonts w:hint="eastAsia" w:ascii="仿宋" w:hAnsi="仿宋" w:eastAsia="仿宋"/>
          <w:sz w:val="32"/>
          <w:lang w:val="en-US" w:eastAsia="zh-CN"/>
        </w:rPr>
        <w:t>无</w:t>
      </w:r>
    </w:p>
    <w:p>
      <w:pPr>
        <w:spacing w:line="580" w:lineRule="exact"/>
        <w:ind w:firstLine="515" w:firstLineChars="161"/>
        <w:outlineLvl w:val="0"/>
        <w:rPr>
          <w:rFonts w:ascii="仿宋" w:hAnsi="仿宋" w:eastAsia="仿宋"/>
        </w:rPr>
      </w:pPr>
      <w:r>
        <w:rPr>
          <w:rFonts w:hint="eastAsia" w:ascii="仿宋" w:hAnsi="仿宋" w:eastAsia="仿宋"/>
          <w:sz w:val="32"/>
        </w:rPr>
        <w:t>（四）预算绩效情况说明</w:t>
      </w:r>
    </w:p>
    <w:p>
      <w:pPr>
        <w:spacing w:line="580" w:lineRule="exact"/>
        <w:ind w:firstLine="640" w:firstLineChars="200"/>
        <w:outlineLvl w:val="0"/>
        <w:rPr>
          <w:rFonts w:ascii="仿宋" w:hAnsi="仿宋" w:eastAsia="仿宋"/>
        </w:rPr>
      </w:pPr>
      <w:r>
        <w:rPr>
          <w:rFonts w:hint="eastAsia" w:ascii="仿宋" w:hAnsi="仿宋" w:eastAsia="仿宋"/>
          <w:sz w:val="32"/>
        </w:rPr>
        <w:t xml:space="preserve">根据预算绩效管理要求，我部门组织对2022年度部门预算项目支出中其他运转类项目和特定目标类项目全面开展绩效自评。其中，一级项目 </w:t>
      </w:r>
      <w:r>
        <w:rPr>
          <w:rFonts w:hint="eastAsia" w:ascii="仿宋" w:hAnsi="仿宋" w:eastAsia="仿宋"/>
          <w:sz w:val="32"/>
          <w:lang w:val="en-US" w:eastAsia="zh-CN"/>
        </w:rPr>
        <w:t>4</w:t>
      </w:r>
      <w:r>
        <w:rPr>
          <w:rFonts w:hint="eastAsia" w:ascii="仿宋" w:hAnsi="仿宋" w:eastAsia="仿宋"/>
          <w:sz w:val="32"/>
        </w:rPr>
        <w:t xml:space="preserve"> 个，二级项目</w:t>
      </w:r>
      <w:r>
        <w:rPr>
          <w:rFonts w:hint="eastAsia" w:ascii="仿宋" w:hAnsi="仿宋" w:eastAsia="仿宋"/>
          <w:sz w:val="32"/>
          <w:lang w:val="en-US" w:eastAsia="zh-CN"/>
        </w:rPr>
        <w:t>12</w:t>
      </w:r>
      <w:r>
        <w:rPr>
          <w:rFonts w:hint="eastAsia" w:ascii="仿宋" w:hAnsi="仿宋" w:eastAsia="仿宋"/>
          <w:sz w:val="32"/>
        </w:rPr>
        <w:t xml:space="preserve">个，共涉及资金 </w:t>
      </w:r>
      <w:r>
        <w:rPr>
          <w:rFonts w:hint="eastAsia" w:ascii="仿宋" w:hAnsi="仿宋" w:eastAsia="仿宋"/>
          <w:sz w:val="32"/>
          <w:lang w:val="en-US" w:eastAsia="zh-CN"/>
        </w:rPr>
        <w:t>151.78</w:t>
      </w:r>
      <w:r>
        <w:rPr>
          <w:rFonts w:hint="eastAsia" w:ascii="仿宋" w:hAnsi="仿宋" w:eastAsia="仿宋"/>
          <w:sz w:val="32"/>
        </w:rPr>
        <w:t xml:space="preserve"> 万元，占一般公共预算项目支出总额的</w:t>
      </w:r>
      <w:r>
        <w:rPr>
          <w:rFonts w:hint="eastAsia" w:ascii="仿宋" w:hAnsi="仿宋" w:eastAsia="仿宋"/>
          <w:sz w:val="32"/>
          <w:lang w:val="en-US" w:eastAsia="zh-CN"/>
        </w:rPr>
        <w:t>72</w:t>
      </w:r>
      <w:r>
        <w:rPr>
          <w:rFonts w:hint="eastAsia" w:ascii="仿宋" w:hAnsi="仿宋" w:eastAsia="仿宋"/>
          <w:sz w:val="32"/>
          <w:highlight w:val="none"/>
        </w:rPr>
        <w:t xml:space="preserve"> %</w:t>
      </w:r>
      <w:r>
        <w:rPr>
          <w:rFonts w:hint="eastAsia" w:ascii="仿宋" w:hAnsi="仿宋" w:eastAsia="仿宋"/>
          <w:sz w:val="32"/>
        </w:rPr>
        <w:t>。</w:t>
      </w:r>
    </w:p>
    <w:p>
      <w:pPr>
        <w:ind w:firstLine="640" w:firstLineChars="200"/>
        <w:rPr>
          <w:rFonts w:ascii="仿宋_GB2312"/>
          <w:sz w:val="32"/>
        </w:rPr>
      </w:pPr>
    </w:p>
    <w:p>
      <w:pPr>
        <w:ind w:firstLine="640" w:firstLineChars="200"/>
        <w:rPr>
          <w:rFonts w:hint="eastAsia" w:ascii="黑体" w:hAnsi="黑体" w:eastAsia="黑体" w:cs="宋体"/>
          <w:sz w:val="32"/>
          <w:szCs w:val="32"/>
        </w:rPr>
      </w:pPr>
    </w:p>
    <w:p>
      <w:pPr>
        <w:ind w:firstLine="640" w:firstLineChars="200"/>
        <w:rPr>
          <w:rFonts w:ascii="黑体" w:hAnsi="黑体" w:eastAsia="黑体" w:cs="宋体"/>
          <w:sz w:val="32"/>
          <w:szCs w:val="32"/>
        </w:rPr>
      </w:pPr>
      <w:r>
        <w:rPr>
          <w:rFonts w:hint="eastAsia" w:ascii="黑体" w:hAnsi="黑体" w:eastAsia="黑体" w:cs="宋体"/>
          <w:sz w:val="32"/>
          <w:szCs w:val="32"/>
        </w:rPr>
        <w:t>第四部分</w:t>
      </w:r>
      <w:r>
        <w:rPr>
          <w:rFonts w:ascii="黑体" w:hAnsi="黑体" w:eastAsia="黑体" w:cs="宋体"/>
          <w:sz w:val="32"/>
          <w:szCs w:val="32"/>
        </w:rPr>
        <w:t xml:space="preserve">  </w:t>
      </w:r>
      <w:r>
        <w:rPr>
          <w:rFonts w:hint="eastAsia" w:ascii="黑体" w:hAnsi="黑体" w:eastAsia="黑体" w:cs="宋体"/>
          <w:sz w:val="32"/>
          <w:szCs w:val="32"/>
        </w:rPr>
        <w:t>名词解释</w:t>
      </w:r>
    </w:p>
    <w:p>
      <w:pPr>
        <w:spacing w:line="580" w:lineRule="exact"/>
        <w:ind w:firstLine="640"/>
        <w:rPr>
          <w:rFonts w:ascii="仿宋" w:hAnsi="仿宋" w:eastAsia="仿宋"/>
        </w:rPr>
      </w:pPr>
      <w:r>
        <w:rPr>
          <w:rFonts w:hint="eastAsia" w:ascii="仿宋" w:hAnsi="仿宋" w:eastAsia="仿宋"/>
          <w:sz w:val="32"/>
        </w:rPr>
        <w:t>部门应当按照部门预算管理要求，对本部门涉及的专业名词进行解释。（以下模板仅供参考，以单位实际为准）</w:t>
      </w:r>
    </w:p>
    <w:p>
      <w:pPr>
        <w:spacing w:line="580" w:lineRule="exact"/>
        <w:ind w:firstLine="630" w:firstLineChars="196"/>
        <w:rPr>
          <w:rFonts w:ascii="仿宋" w:hAnsi="仿宋" w:eastAsia="仿宋"/>
        </w:rPr>
      </w:pPr>
      <w:r>
        <w:rPr>
          <w:rFonts w:hint="eastAsia" w:ascii="仿宋" w:hAnsi="仿宋" w:eastAsia="仿宋"/>
          <w:b/>
          <w:sz w:val="32"/>
        </w:rPr>
        <w:t>财政拨款收入：</w:t>
      </w:r>
      <w:r>
        <w:rPr>
          <w:rFonts w:hint="eastAsia" w:ascii="仿宋" w:hAnsi="仿宋" w:eastAsia="仿宋"/>
          <w:sz w:val="32"/>
        </w:rPr>
        <w:t>指单位从同级财政部门取得的财政预算资金。</w:t>
      </w:r>
    </w:p>
    <w:p>
      <w:pPr>
        <w:spacing w:line="580" w:lineRule="exact"/>
        <w:ind w:firstLine="630" w:firstLineChars="196"/>
        <w:rPr>
          <w:rFonts w:ascii="仿宋" w:hAnsi="仿宋" w:eastAsia="仿宋"/>
        </w:rPr>
      </w:pPr>
      <w:r>
        <w:rPr>
          <w:rFonts w:hint="eastAsia" w:ascii="仿宋" w:hAnsi="仿宋" w:eastAsia="仿宋"/>
          <w:b/>
          <w:sz w:val="32"/>
        </w:rPr>
        <w:t>事业收入：</w:t>
      </w:r>
      <w:r>
        <w:rPr>
          <w:rFonts w:hint="eastAsia" w:ascii="仿宋" w:hAnsi="仿宋" w:eastAsia="仿宋"/>
          <w:sz w:val="32"/>
        </w:rPr>
        <w:t>指事业单位开展专业业务活动及辅助活动取得的收入。</w:t>
      </w:r>
    </w:p>
    <w:p>
      <w:pPr>
        <w:spacing w:line="580" w:lineRule="exact"/>
        <w:ind w:firstLine="643" w:firstLineChars="200"/>
        <w:rPr>
          <w:rFonts w:ascii="仿宋" w:hAnsi="仿宋" w:eastAsia="仿宋"/>
        </w:rPr>
      </w:pPr>
      <w:r>
        <w:rPr>
          <w:rFonts w:hint="eastAsia" w:ascii="仿宋" w:hAnsi="仿宋" w:eastAsia="仿宋"/>
          <w:b/>
          <w:sz w:val="32"/>
        </w:rPr>
        <w:t>经营收入：</w:t>
      </w:r>
      <w:r>
        <w:rPr>
          <w:rFonts w:hint="eastAsia" w:ascii="仿宋" w:hAnsi="仿宋" w:eastAsia="仿宋"/>
          <w:sz w:val="32"/>
        </w:rPr>
        <w:t>指事业单位在专业业务活动及其辅助活动之外开展非独立核算经营活动取得的收入。</w:t>
      </w:r>
    </w:p>
    <w:p>
      <w:pPr>
        <w:spacing w:line="580" w:lineRule="exact"/>
        <w:ind w:firstLine="643" w:firstLineChars="200"/>
        <w:rPr>
          <w:rFonts w:ascii="仿宋" w:hAnsi="仿宋" w:eastAsia="仿宋"/>
        </w:rPr>
      </w:pPr>
      <w:r>
        <w:rPr>
          <w:rFonts w:hint="eastAsia" w:ascii="仿宋" w:hAnsi="仿宋" w:eastAsia="仿宋"/>
          <w:b/>
          <w:sz w:val="32"/>
        </w:rPr>
        <w:t>其他收入：</w:t>
      </w:r>
      <w:r>
        <w:rPr>
          <w:rFonts w:hint="eastAsia" w:ascii="仿宋" w:hAnsi="仿宋" w:eastAsia="仿宋"/>
          <w:sz w:val="32"/>
        </w:rPr>
        <w:t>指单位取得的除上述收入以外的各项收入。主要是事业单位固定资产出租收入、存款利息收入等。</w:t>
      </w:r>
    </w:p>
    <w:p>
      <w:pPr>
        <w:spacing w:line="580" w:lineRule="exact"/>
        <w:ind w:firstLine="643" w:firstLineChars="200"/>
        <w:rPr>
          <w:rFonts w:ascii="仿宋" w:hAnsi="仿宋" w:eastAsia="仿宋"/>
        </w:rPr>
      </w:pPr>
      <w:r>
        <w:rPr>
          <w:rFonts w:hint="eastAsia" w:ascii="仿宋" w:hAnsi="仿宋" w:eastAsia="仿宋"/>
          <w:b/>
          <w:sz w:val="32"/>
        </w:rPr>
        <w:t>使用非财政拨款结余：</w:t>
      </w:r>
      <w:r>
        <w:rPr>
          <w:rFonts w:hint="eastAsia" w:ascii="仿宋" w:hAnsi="仿宋" w:eastAsia="仿宋"/>
          <w:sz w:val="32"/>
        </w:rPr>
        <w:t>指事业单位使用以前年度积累的非财政拨款结余弥补当年收支差额的金额。</w:t>
      </w:r>
    </w:p>
    <w:p>
      <w:pPr>
        <w:spacing w:line="580" w:lineRule="exact"/>
        <w:ind w:firstLine="643" w:firstLineChars="200"/>
        <w:rPr>
          <w:rFonts w:ascii="仿宋" w:hAnsi="仿宋" w:eastAsia="仿宋"/>
        </w:rPr>
      </w:pPr>
      <w:r>
        <w:rPr>
          <w:rFonts w:hint="eastAsia" w:ascii="仿宋" w:hAnsi="仿宋" w:eastAsia="仿宋"/>
          <w:b/>
          <w:sz w:val="32"/>
        </w:rPr>
        <w:t>年初结转和结余：</w:t>
      </w:r>
      <w:r>
        <w:rPr>
          <w:rFonts w:hint="eastAsia" w:ascii="仿宋" w:hAnsi="仿宋" w:eastAsia="仿宋"/>
          <w:sz w:val="32"/>
        </w:rPr>
        <w:t>指单位以前年度尚未完成、结转到本年仍按原规定用途继续使用的资金，或项目已完成等产生的结余资金。</w:t>
      </w:r>
    </w:p>
    <w:p>
      <w:pPr>
        <w:spacing w:line="580" w:lineRule="exact"/>
        <w:ind w:firstLine="643" w:firstLineChars="200"/>
        <w:rPr>
          <w:rFonts w:ascii="仿宋" w:hAnsi="仿宋" w:eastAsia="仿宋"/>
        </w:rPr>
      </w:pPr>
      <w:r>
        <w:rPr>
          <w:rFonts w:hint="eastAsia" w:ascii="仿宋" w:hAnsi="仿宋" w:eastAsia="仿宋"/>
          <w:b/>
          <w:sz w:val="32"/>
        </w:rPr>
        <w:t>结余分配：</w:t>
      </w:r>
      <w:r>
        <w:rPr>
          <w:rFonts w:hint="eastAsia" w:ascii="仿宋" w:hAnsi="仿宋" w:eastAsia="仿宋"/>
          <w:sz w:val="32"/>
        </w:rPr>
        <w:t>指事业单位按照会计制度规定缴纳的所得税、提取的专用结余以及转入非财政拨款结余的金额等。</w:t>
      </w:r>
    </w:p>
    <w:p>
      <w:pPr>
        <w:spacing w:line="580" w:lineRule="exact"/>
        <w:ind w:firstLine="640" w:firstLineChars="200"/>
        <w:rPr>
          <w:rFonts w:ascii="仿宋" w:hAnsi="仿宋" w:eastAsia="仿宋"/>
        </w:rPr>
      </w:pPr>
      <w:r>
        <w:rPr>
          <w:rFonts w:hint="eastAsia" w:ascii="仿宋" w:hAnsi="仿宋" w:eastAsia="仿宋"/>
          <w:sz w:val="32"/>
        </w:rPr>
        <w:t>年末结转和结余：指单位按有关规定结转到下年或以后年度继续使用的资金，或项目已完成等产生的结余资金。</w:t>
      </w:r>
    </w:p>
    <w:p>
      <w:pPr>
        <w:spacing w:line="580" w:lineRule="exact"/>
        <w:ind w:firstLine="643" w:firstLineChars="200"/>
        <w:rPr>
          <w:rFonts w:ascii="仿宋" w:hAnsi="仿宋" w:eastAsia="仿宋"/>
          <w:b/>
        </w:rPr>
      </w:pPr>
      <w:r>
        <w:rPr>
          <w:rFonts w:hint="eastAsia" w:ascii="仿宋" w:hAnsi="仿宋" w:eastAsia="仿宋"/>
          <w:b/>
          <w:sz w:val="32"/>
        </w:rPr>
        <w:t>基本支出：</w:t>
      </w:r>
      <w:r>
        <w:rPr>
          <w:rFonts w:hint="eastAsia" w:ascii="仿宋" w:hAnsi="仿宋" w:eastAsia="仿宋"/>
          <w:sz w:val="32"/>
        </w:rPr>
        <w:t>指为保障机构正常运转、完成日常工作任务而发生的人员支出和公用支出。</w:t>
      </w:r>
    </w:p>
    <w:p>
      <w:pPr>
        <w:autoSpaceDE w:val="0"/>
        <w:autoSpaceDN w:val="0"/>
        <w:adjustRightInd w:val="0"/>
        <w:ind w:firstLine="643" w:firstLineChars="200"/>
        <w:rPr>
          <w:rFonts w:ascii="仿宋" w:hAnsi="仿宋" w:eastAsia="仿宋"/>
        </w:rPr>
      </w:pPr>
      <w:r>
        <w:rPr>
          <w:rFonts w:hint="eastAsia" w:ascii="仿宋" w:hAnsi="仿宋" w:eastAsia="仿宋"/>
          <w:b/>
          <w:sz w:val="32"/>
        </w:rPr>
        <w:t>项目支出：</w:t>
      </w:r>
      <w:r>
        <w:rPr>
          <w:rFonts w:hint="eastAsia" w:ascii="仿宋" w:hAnsi="仿宋" w:eastAsia="仿宋"/>
          <w:sz w:val="32"/>
        </w:rPr>
        <w:t>指在基本支出之外为完成特定行政任务和事业发展目标所发生的支出。</w:t>
      </w:r>
    </w:p>
    <w:p>
      <w:pPr>
        <w:autoSpaceDE w:val="0"/>
        <w:autoSpaceDN w:val="0"/>
        <w:adjustRightInd w:val="0"/>
        <w:ind w:firstLine="643" w:firstLineChars="200"/>
        <w:rPr>
          <w:rFonts w:ascii="仿宋" w:hAnsi="仿宋" w:eastAsia="仿宋"/>
        </w:rPr>
      </w:pPr>
      <w:r>
        <w:rPr>
          <w:rFonts w:hint="eastAsia" w:ascii="仿宋" w:hAnsi="仿宋" w:eastAsia="仿宋"/>
          <w:b/>
          <w:sz w:val="32"/>
        </w:rPr>
        <w:t>“三公”经费：</w:t>
      </w:r>
      <w:r>
        <w:rPr>
          <w:rFonts w:hint="eastAsia" w:ascii="仿宋" w:hAnsi="仿宋" w:eastAsia="仿宋"/>
          <w:sz w:val="32"/>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3" w:firstLineChars="200"/>
        <w:rPr>
          <w:rFonts w:ascii="仿宋_GB2312"/>
        </w:rPr>
      </w:pPr>
      <w:r>
        <w:rPr>
          <w:rFonts w:hint="eastAsia" w:ascii="仿宋" w:hAnsi="仿宋" w:eastAsia="仿宋"/>
          <w:b/>
          <w:sz w:val="32"/>
        </w:rPr>
        <w:t>机关运行经费：</w:t>
      </w:r>
      <w:r>
        <w:rPr>
          <w:rFonts w:hint="eastAsia" w:ascii="仿宋" w:hAnsi="仿宋" w:eastAsia="仿宋"/>
          <w:sz w:val="32"/>
        </w:rPr>
        <w:t>指行政单位和参照公务员法管理的事业单位使用一般公共预算安排的基本支出中的日常公用经费支出。</w:t>
      </w:r>
    </w:p>
    <w:p>
      <w:pPr>
        <w:ind w:firstLine="640" w:firstLineChars="200"/>
        <w:rPr>
          <w:rFonts w:ascii="宋体" w:hAnsi="宋体" w:cs="宋体"/>
          <w:sz w:val="32"/>
          <w:szCs w:val="32"/>
        </w:rPr>
      </w:pPr>
    </w:p>
    <w:p>
      <w:pPr>
        <w:ind w:firstLine="640" w:firstLineChars="200"/>
        <w:rPr>
          <w:rFonts w:ascii="宋体" w:cs="宋体"/>
          <w:sz w:val="32"/>
          <w:szCs w:val="32"/>
        </w:rPr>
      </w:pPr>
      <w:r>
        <w:rPr>
          <w:rFonts w:ascii="宋体" w:hAnsi="宋体" w:cs="宋体"/>
          <w:sz w:val="32"/>
          <w:szCs w:val="32"/>
        </w:rPr>
        <w:t xml:space="preserve"> </w:t>
      </w: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CBFBA"/>
    <w:multiLevelType w:val="singleLevel"/>
    <w:tmpl w:val="46BCBFBA"/>
    <w:lvl w:ilvl="0" w:tentative="0">
      <w:start w:val="3"/>
      <w:numFmt w:val="chineseCounting"/>
      <w:suff w:val="nothing"/>
      <w:lvlText w:val="%1、"/>
      <w:lvlJc w:val="left"/>
      <w:rPr>
        <w:rFonts w:hint="eastAsia"/>
      </w:rPr>
    </w:lvl>
  </w:abstractNum>
  <w:abstractNum w:abstractNumId="1">
    <w:nsid w:val="704535D5"/>
    <w:multiLevelType w:val="singleLevel"/>
    <w:tmpl w:val="704535D5"/>
    <w:lvl w:ilvl="0" w:tentative="0">
      <w:start w:val="1"/>
      <w:numFmt w:val="decimal"/>
      <w:lvlText w:val="%1."/>
      <w:lvlJc w:val="left"/>
      <w:pPr>
        <w:tabs>
          <w:tab w:val="left" w:pos="312"/>
        </w:tabs>
      </w:pPr>
    </w:lvl>
  </w:abstractNum>
  <w:abstractNum w:abstractNumId="2">
    <w:nsid w:val="78A81F0C"/>
    <w:multiLevelType w:val="singleLevel"/>
    <w:tmpl w:val="78A81F0C"/>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c1MGE4NWJjMThiNGMwYjBkYzZlMWM0YjUxOGIwZWEifQ=="/>
  </w:docVars>
  <w:rsids>
    <w:rsidRoot w:val="48E87EB6"/>
    <w:rsid w:val="0001019D"/>
    <w:rsid w:val="0001526A"/>
    <w:rsid w:val="00095ABA"/>
    <w:rsid w:val="000C5D08"/>
    <w:rsid w:val="0011026C"/>
    <w:rsid w:val="00121209"/>
    <w:rsid w:val="00133406"/>
    <w:rsid w:val="00134A69"/>
    <w:rsid w:val="001572B1"/>
    <w:rsid w:val="001C0185"/>
    <w:rsid w:val="001C1F29"/>
    <w:rsid w:val="001C6D6E"/>
    <w:rsid w:val="001E0982"/>
    <w:rsid w:val="00234694"/>
    <w:rsid w:val="002A78F3"/>
    <w:rsid w:val="002E6391"/>
    <w:rsid w:val="003343CB"/>
    <w:rsid w:val="00342907"/>
    <w:rsid w:val="00356142"/>
    <w:rsid w:val="004641B5"/>
    <w:rsid w:val="00471C81"/>
    <w:rsid w:val="00481790"/>
    <w:rsid w:val="004D2F67"/>
    <w:rsid w:val="0053567B"/>
    <w:rsid w:val="00543803"/>
    <w:rsid w:val="005758D0"/>
    <w:rsid w:val="005A41BF"/>
    <w:rsid w:val="005C5682"/>
    <w:rsid w:val="005D6883"/>
    <w:rsid w:val="005E1B8D"/>
    <w:rsid w:val="005F199C"/>
    <w:rsid w:val="005F2480"/>
    <w:rsid w:val="00663897"/>
    <w:rsid w:val="00664E4B"/>
    <w:rsid w:val="00696E76"/>
    <w:rsid w:val="00734A87"/>
    <w:rsid w:val="00751A1A"/>
    <w:rsid w:val="00760ADC"/>
    <w:rsid w:val="007A70B3"/>
    <w:rsid w:val="007E693B"/>
    <w:rsid w:val="00800BD1"/>
    <w:rsid w:val="00805F96"/>
    <w:rsid w:val="008524E1"/>
    <w:rsid w:val="00874BC6"/>
    <w:rsid w:val="008934C9"/>
    <w:rsid w:val="008D5CA9"/>
    <w:rsid w:val="008D7F93"/>
    <w:rsid w:val="00906723"/>
    <w:rsid w:val="009436C0"/>
    <w:rsid w:val="009600A2"/>
    <w:rsid w:val="009A7E7B"/>
    <w:rsid w:val="009B6471"/>
    <w:rsid w:val="009F066F"/>
    <w:rsid w:val="00A42F2A"/>
    <w:rsid w:val="00A61D97"/>
    <w:rsid w:val="00A72C12"/>
    <w:rsid w:val="00B47C9B"/>
    <w:rsid w:val="00B557D1"/>
    <w:rsid w:val="00B57349"/>
    <w:rsid w:val="00B84096"/>
    <w:rsid w:val="00B97C67"/>
    <w:rsid w:val="00BA476A"/>
    <w:rsid w:val="00C52450"/>
    <w:rsid w:val="00C81464"/>
    <w:rsid w:val="00C91007"/>
    <w:rsid w:val="00C92BCC"/>
    <w:rsid w:val="00CA0D2B"/>
    <w:rsid w:val="00CC30DB"/>
    <w:rsid w:val="00CF14FA"/>
    <w:rsid w:val="00D25442"/>
    <w:rsid w:val="00D45F97"/>
    <w:rsid w:val="00D64D73"/>
    <w:rsid w:val="00DE30A3"/>
    <w:rsid w:val="00E454A5"/>
    <w:rsid w:val="00E73CB3"/>
    <w:rsid w:val="00E74F60"/>
    <w:rsid w:val="00E94F0A"/>
    <w:rsid w:val="00EE2AC8"/>
    <w:rsid w:val="00F01EE0"/>
    <w:rsid w:val="00F15093"/>
    <w:rsid w:val="00F63D19"/>
    <w:rsid w:val="00F843C4"/>
    <w:rsid w:val="01D32DCE"/>
    <w:rsid w:val="05ED3565"/>
    <w:rsid w:val="0A044C94"/>
    <w:rsid w:val="0C5A5250"/>
    <w:rsid w:val="1142587A"/>
    <w:rsid w:val="13A91BE1"/>
    <w:rsid w:val="143F42F3"/>
    <w:rsid w:val="14D42C8D"/>
    <w:rsid w:val="1DB418AE"/>
    <w:rsid w:val="1E2307E2"/>
    <w:rsid w:val="1F0C74C8"/>
    <w:rsid w:val="28D728F5"/>
    <w:rsid w:val="28E55011"/>
    <w:rsid w:val="2B3202B6"/>
    <w:rsid w:val="2B6A7A50"/>
    <w:rsid w:val="2B6F6333"/>
    <w:rsid w:val="2D460049"/>
    <w:rsid w:val="30890978"/>
    <w:rsid w:val="30C95219"/>
    <w:rsid w:val="32425283"/>
    <w:rsid w:val="33D77C4D"/>
    <w:rsid w:val="35262C3A"/>
    <w:rsid w:val="35820062"/>
    <w:rsid w:val="3F2140C4"/>
    <w:rsid w:val="408223BA"/>
    <w:rsid w:val="45B656C1"/>
    <w:rsid w:val="48E87EB6"/>
    <w:rsid w:val="49D36983"/>
    <w:rsid w:val="4A1D4BB5"/>
    <w:rsid w:val="4CE21F38"/>
    <w:rsid w:val="52B03199"/>
    <w:rsid w:val="5391176E"/>
    <w:rsid w:val="53FB308C"/>
    <w:rsid w:val="565C6063"/>
    <w:rsid w:val="5A494B51"/>
    <w:rsid w:val="5BB70AED"/>
    <w:rsid w:val="5E056EAC"/>
    <w:rsid w:val="5F0027CC"/>
    <w:rsid w:val="5FC44C79"/>
    <w:rsid w:val="684B5F38"/>
    <w:rsid w:val="699506B8"/>
    <w:rsid w:val="6C384A25"/>
    <w:rsid w:val="6EAB7730"/>
    <w:rsid w:val="74A40EAA"/>
    <w:rsid w:val="74BC7C78"/>
    <w:rsid w:val="750E27C7"/>
    <w:rsid w:val="79480076"/>
    <w:rsid w:val="7A0E7443"/>
    <w:rsid w:val="7B340A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szCs w:val="20"/>
    </w:rPr>
  </w:style>
  <w:style w:type="character" w:styleId="7">
    <w:name w:val="Strong"/>
    <w:basedOn w:val="6"/>
    <w:qFormat/>
    <w:uiPriority w:val="99"/>
    <w:rPr>
      <w:rFonts w:cs="Times New Roman"/>
      <w:b/>
    </w:rPr>
  </w:style>
  <w:style w:type="character" w:customStyle="1" w:styleId="8">
    <w:name w:val="页眉 Char"/>
    <w:basedOn w:val="6"/>
    <w:link w:val="3"/>
    <w:locked/>
    <w:uiPriority w:val="99"/>
    <w:rPr>
      <w:rFonts w:ascii="Calibri" w:hAnsi="Calibri" w:eastAsia="宋体" w:cs="Times New Roman"/>
      <w:kern w:val="2"/>
      <w:sz w:val="18"/>
      <w:szCs w:val="18"/>
    </w:rPr>
  </w:style>
  <w:style w:type="character" w:customStyle="1" w:styleId="9">
    <w:name w:val="页脚 Char"/>
    <w:basedOn w:val="6"/>
    <w:link w:val="2"/>
    <w:qFormat/>
    <w:locked/>
    <w:uiPriority w:val="99"/>
    <w:rPr>
      <w:rFonts w:ascii="Calibri" w:hAnsi="Calibri" w:eastAsia="宋体" w:cs="Times New Roman"/>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16</Pages>
  <Words>4378</Words>
  <Characters>4749</Characters>
  <Lines>32</Lines>
  <Paragraphs>9</Paragraphs>
  <TotalTime>0</TotalTime>
  <ScaleCrop>false</ScaleCrop>
  <LinksUpToDate>false</LinksUpToDate>
  <CharactersWithSpaces>4784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2022-07-21T01:40:00Z</dcterms:created>
  <dc:creator>亚亚</dc:creator>
  <cp:lastModifiedBy>lenovo</cp:lastModifiedBy>
  <cp:lastPrinted>2021-07-20T03:12:00Z</cp:lastPrinted>
  <dcterms:modified xsi:type="dcterms:W3CDTF">2023-07-26T08:53:49Z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626DE3747A924CA78E4024862FEBC8AE_12</vt:lpwstr>
  </property>
</Properties>
</file>