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sz w:val="24"/>
        </w:rPr>
      </w:pPr>
      <w:r>
        <w:rPr>
          <w:rFonts w:hint="eastAsia" w:ascii="黑体" w:hAnsi="黑体" w:eastAsia="黑体" w:cs="宋体"/>
          <w:sz w:val="24"/>
        </w:rPr>
        <w:t>附件：</w:t>
      </w: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1040" w:firstLineChars="200"/>
        <w:jc w:val="center"/>
        <w:rPr>
          <w:rFonts w:ascii="黑体" w:hAnsi="黑体" w:eastAsia="黑体" w:cs="宋体"/>
          <w:sz w:val="52"/>
          <w:szCs w:val="52"/>
        </w:rPr>
      </w:pPr>
      <w:r>
        <w:rPr>
          <w:rFonts w:ascii="黑体" w:hAnsi="黑体" w:eastAsia="黑体" w:cs="宋体"/>
          <w:sz w:val="52"/>
          <w:szCs w:val="52"/>
        </w:rPr>
        <w:t>20</w:t>
      </w:r>
      <w:r>
        <w:rPr>
          <w:rFonts w:hint="eastAsia" w:ascii="黑体" w:hAnsi="黑体" w:eastAsia="黑体" w:cs="宋体"/>
          <w:sz w:val="52"/>
          <w:szCs w:val="52"/>
        </w:rPr>
        <w:t>22年度</w:t>
      </w:r>
    </w:p>
    <w:p>
      <w:pPr>
        <w:ind w:firstLine="1040" w:firstLineChars="200"/>
        <w:jc w:val="center"/>
        <w:rPr>
          <w:rFonts w:ascii="黑体" w:hAnsi="黑体" w:eastAsia="黑体" w:cs="宋体"/>
          <w:sz w:val="52"/>
          <w:szCs w:val="52"/>
        </w:rPr>
      </w:pPr>
      <w:r>
        <w:rPr>
          <w:rFonts w:hint="eastAsia" w:ascii="黑体" w:hAnsi="黑体" w:eastAsia="黑体" w:cs="宋体"/>
          <w:sz w:val="52"/>
          <w:szCs w:val="52"/>
        </w:rPr>
        <w:t>部门(单位)决算公开说明</w:t>
      </w:r>
    </w:p>
    <w:p>
      <w:pPr>
        <w:ind w:firstLine="640" w:firstLineChars="200"/>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ind w:firstLine="640" w:firstLineChars="200"/>
        <w:jc w:val="center"/>
        <w:rPr>
          <w:rFonts w:ascii="宋体" w:cs="宋体"/>
          <w:sz w:val="32"/>
          <w:szCs w:val="32"/>
        </w:rPr>
      </w:pPr>
    </w:p>
    <w:p>
      <w:pPr>
        <w:jc w:val="center"/>
        <w:rPr>
          <w:rFonts w:ascii="黑体" w:hAnsi="黑体" w:eastAsia="黑体" w:cs="宋体"/>
          <w:sz w:val="32"/>
          <w:szCs w:val="32"/>
        </w:rPr>
      </w:pPr>
      <w:r>
        <w:rPr>
          <w:rFonts w:hint="eastAsia" w:ascii="黑体" w:hAnsi="黑体" w:eastAsia="黑体" w:cs="宋体"/>
          <w:sz w:val="32"/>
          <w:szCs w:val="32"/>
        </w:rPr>
        <w:t xml:space="preserve">     武乡县委政法委员会</w:t>
      </w:r>
    </w:p>
    <w:p>
      <w:pPr>
        <w:ind w:firstLine="3200" w:firstLineChars="1000"/>
        <w:rPr>
          <w:rFonts w:ascii="黑体" w:hAnsi="黑体" w:eastAsia="黑体" w:cs="宋体"/>
          <w:sz w:val="32"/>
          <w:szCs w:val="32"/>
        </w:rPr>
      </w:pPr>
      <w:r>
        <w:rPr>
          <w:rFonts w:ascii="黑体" w:hAnsi="黑体" w:eastAsia="黑体" w:cs="宋体"/>
          <w:sz w:val="32"/>
          <w:szCs w:val="32"/>
        </w:rPr>
        <w:t>20</w:t>
      </w:r>
      <w:r>
        <w:rPr>
          <w:rFonts w:hint="eastAsia" w:ascii="黑体" w:hAnsi="黑体" w:eastAsia="黑体" w:cs="宋体"/>
          <w:sz w:val="32"/>
          <w:szCs w:val="32"/>
        </w:rPr>
        <w:t>23年07月20日</w:t>
      </w:r>
    </w:p>
    <w:p>
      <w:pPr>
        <w:ind w:firstLine="640" w:firstLineChars="200"/>
        <w:jc w:val="center"/>
        <w:rPr>
          <w:rFonts w:ascii="宋体" w:cs="宋体"/>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宋体" w:cs="宋体"/>
          <w:sz w:val="32"/>
          <w:szCs w:val="32"/>
        </w:rPr>
      </w:pPr>
    </w:p>
    <w:p>
      <w:pPr>
        <w:ind w:firstLine="640" w:firstLineChars="200"/>
        <w:rPr>
          <w:rFonts w:ascii="黑体" w:hAnsi="黑体" w:eastAsia="黑体" w:cs="宋体"/>
          <w:sz w:val="32"/>
          <w:szCs w:val="32"/>
        </w:rPr>
      </w:pPr>
      <w:r>
        <w:rPr>
          <w:rFonts w:hint="eastAsia" w:ascii="黑体" w:hAnsi="黑体" w:eastAsia="黑体" w:cs="宋体"/>
          <w:sz w:val="32"/>
          <w:szCs w:val="32"/>
        </w:rPr>
        <w:t>第一部分概况</w:t>
      </w:r>
    </w:p>
    <w:p>
      <w:pPr>
        <w:ind w:firstLine="640"/>
        <w:rPr>
          <w:rFonts w:ascii="仿宋" w:hAnsi="仿宋" w:eastAsia="仿宋"/>
          <w:sz w:val="32"/>
        </w:rPr>
      </w:pPr>
      <w:r>
        <w:rPr>
          <w:rFonts w:hint="eastAsia" w:ascii="楷体" w:hAnsi="楷体" w:eastAsia="楷体" w:cs="宋体"/>
          <w:sz w:val="32"/>
          <w:szCs w:val="32"/>
        </w:rPr>
        <w:t>一、部门主要职能</w:t>
      </w:r>
      <w:r>
        <w:rPr>
          <w:rFonts w:hint="eastAsia" w:ascii="仿宋" w:hAnsi="仿宋" w:eastAsia="仿宋"/>
          <w:sz w:val="32"/>
        </w:rPr>
        <w:t>县委政法委贯彻落实党中央、省、市、县委关于政法工作的方针政策和决策部署，在履行职责过程中坚持和加强党对政法、维稳、公共安全、反邪教等工作的集中统一领导。主要职责是：</w:t>
      </w:r>
    </w:p>
    <w:p>
      <w:pPr>
        <w:ind w:firstLine="640"/>
        <w:rPr>
          <w:rFonts w:ascii="仿宋" w:hAnsi="仿宋" w:eastAsia="仿宋"/>
          <w:sz w:val="32"/>
        </w:rPr>
      </w:pPr>
      <w:r>
        <w:rPr>
          <w:rFonts w:hint="eastAsia" w:ascii="仿宋" w:hAnsi="仿宋" w:eastAsia="仿宋"/>
          <w:sz w:val="32"/>
        </w:rPr>
        <w:t>（一）贯彻落实党中央、省、市、县委有关政法工作的路线方针政策和决策部署，统一政法部门思想和行动，坚持党对政法工作的绝对领导。</w:t>
      </w:r>
    </w:p>
    <w:p>
      <w:pPr>
        <w:ind w:firstLine="640"/>
        <w:rPr>
          <w:rFonts w:ascii="仿宋" w:hAnsi="仿宋" w:eastAsia="仿宋"/>
          <w:sz w:val="32"/>
        </w:rPr>
      </w:pPr>
      <w:r>
        <w:rPr>
          <w:rFonts w:hint="eastAsia" w:ascii="仿宋" w:hAnsi="仿宋" w:eastAsia="仿宋"/>
          <w:sz w:val="32"/>
        </w:rPr>
        <w:t>（二）对全县政法工作研究提出全局性部署，推进平安武乡、法治武乡建设，加强过硬队伍建设和智能化建设。</w:t>
      </w:r>
    </w:p>
    <w:p>
      <w:pPr>
        <w:ind w:firstLine="640"/>
        <w:rPr>
          <w:rFonts w:ascii="仿宋" w:hAnsi="仿宋" w:eastAsia="仿宋"/>
          <w:sz w:val="32"/>
        </w:rPr>
      </w:pPr>
      <w:r>
        <w:rPr>
          <w:rFonts w:hint="eastAsia" w:ascii="仿宋" w:hAnsi="仿宋" w:eastAsia="仿宋"/>
          <w:sz w:val="32"/>
        </w:rPr>
        <w:t>（三）了解掌握和分析研判全县政法工作情况动态，分析社会稳定形势，创新完善多部门参与的综治维稳工作机制，协调推动预防、化解影响稳定的社会矛盾和风险，协调应对和处置重大突发事件。</w:t>
      </w:r>
    </w:p>
    <w:p>
      <w:pPr>
        <w:ind w:firstLine="640"/>
        <w:rPr>
          <w:rFonts w:ascii="仿宋" w:hAnsi="仿宋" w:eastAsia="仿宋"/>
          <w:sz w:val="32"/>
        </w:rPr>
      </w:pPr>
      <w:r>
        <w:rPr>
          <w:rFonts w:hint="eastAsia" w:ascii="仿宋" w:hAnsi="仿宋" w:eastAsia="仿宋"/>
          <w:sz w:val="32"/>
        </w:rPr>
        <w:t>（四）加强对全县政法工作的综合协调和监督，统筹协调社会治安综合治理、维护社会稳定、反邪教有关法律法规政策的实施工作。</w:t>
      </w:r>
    </w:p>
    <w:p>
      <w:pPr>
        <w:ind w:firstLine="640"/>
        <w:rPr>
          <w:rFonts w:ascii="仿宋" w:hAnsi="仿宋" w:eastAsia="仿宋"/>
          <w:sz w:val="32"/>
        </w:rPr>
      </w:pPr>
      <w:r>
        <w:rPr>
          <w:rFonts w:hint="eastAsia" w:ascii="仿宋" w:hAnsi="仿宋" w:eastAsia="仿宋"/>
          <w:sz w:val="32"/>
        </w:rPr>
        <w:t>（五）组织开展全县政法领域的调查研究，研究拟定全县政法工作的方法、措施，及时向县委和上级提出建议。</w:t>
      </w:r>
    </w:p>
    <w:p>
      <w:pPr>
        <w:ind w:firstLine="640"/>
        <w:rPr>
          <w:rFonts w:ascii="仿宋" w:hAnsi="仿宋" w:eastAsia="仿宋"/>
          <w:sz w:val="32"/>
        </w:rPr>
      </w:pPr>
      <w:r>
        <w:rPr>
          <w:rFonts w:hint="eastAsia" w:ascii="仿宋" w:hAnsi="仿宋" w:eastAsia="仿宋"/>
          <w:sz w:val="32"/>
        </w:rPr>
        <w:t>（六）掌握分析全县政法舆情动态，指导协调政法各部门外宣工作。</w:t>
      </w:r>
    </w:p>
    <w:p>
      <w:pPr>
        <w:ind w:firstLine="640"/>
        <w:rPr>
          <w:rFonts w:ascii="仿宋" w:hAnsi="仿宋" w:eastAsia="仿宋"/>
          <w:sz w:val="32"/>
        </w:rPr>
      </w:pPr>
      <w:r>
        <w:rPr>
          <w:rFonts w:hint="eastAsia" w:ascii="仿宋" w:hAnsi="仿宋" w:eastAsia="仿宋"/>
          <w:sz w:val="32"/>
        </w:rPr>
        <w:t>（七）指导和协调县级政法部门密切配合，研究和协调重大、疑难案件，推进严格执法、公正司法。</w:t>
      </w:r>
    </w:p>
    <w:p>
      <w:pPr>
        <w:ind w:firstLine="640"/>
        <w:rPr>
          <w:rFonts w:ascii="仿宋" w:hAnsi="仿宋" w:eastAsia="仿宋"/>
          <w:sz w:val="32"/>
        </w:rPr>
      </w:pPr>
      <w:r>
        <w:rPr>
          <w:rFonts w:hint="eastAsia" w:ascii="仿宋" w:hAnsi="仿宋" w:eastAsia="仿宋"/>
          <w:sz w:val="32"/>
        </w:rPr>
        <w:t>（八）组织研究全县政法改革中带有方向性、倾向性和普遍性的重大问题，深化政法改革。</w:t>
      </w:r>
    </w:p>
    <w:p>
      <w:pPr>
        <w:ind w:firstLine="640"/>
        <w:rPr>
          <w:rFonts w:ascii="仿宋" w:hAnsi="仿宋" w:eastAsia="仿宋"/>
          <w:sz w:val="32"/>
        </w:rPr>
      </w:pPr>
      <w:r>
        <w:rPr>
          <w:rFonts w:hint="eastAsia" w:ascii="仿宋" w:hAnsi="仿宋" w:eastAsia="仿宋"/>
          <w:sz w:val="32"/>
        </w:rPr>
        <w:t>（九）指导推动全县政法系统党的建设和政法队伍建设，统筹推动政治督察和政治轮训。</w:t>
      </w:r>
    </w:p>
    <w:p>
      <w:pPr>
        <w:ind w:firstLine="640"/>
        <w:rPr>
          <w:rFonts w:ascii="仿宋" w:hAnsi="仿宋" w:eastAsia="仿宋"/>
          <w:sz w:val="32"/>
        </w:rPr>
      </w:pPr>
      <w:r>
        <w:rPr>
          <w:rFonts w:hint="eastAsia" w:ascii="仿宋" w:hAnsi="仿宋" w:eastAsia="仿宋"/>
          <w:sz w:val="32"/>
        </w:rPr>
        <w:t>（十）组织开展全县国家安全重大问题的政策研究，协调有关方面贯彻落实有关国家安全工作的方针政策和决策部署，统筹研究国家安全工作中有关政法方面的工作。</w:t>
      </w:r>
    </w:p>
    <w:p>
      <w:pPr>
        <w:ind w:firstLine="640"/>
        <w:rPr>
          <w:rFonts w:ascii="仿宋" w:hAnsi="仿宋" w:eastAsia="仿宋" w:cs="宋体"/>
          <w:sz w:val="32"/>
          <w:szCs w:val="32"/>
        </w:rPr>
      </w:pPr>
      <w:r>
        <w:rPr>
          <w:rFonts w:hint="eastAsia" w:ascii="仿宋" w:hAnsi="仿宋" w:eastAsia="仿宋"/>
          <w:sz w:val="32"/>
        </w:rPr>
        <w:t>（十一）完成上级和县委交办的其他任务。</w:t>
      </w:r>
    </w:p>
    <w:p>
      <w:pPr>
        <w:ind w:firstLine="640" w:firstLineChars="200"/>
        <w:rPr>
          <w:rFonts w:ascii="仿宋" w:hAnsi="仿宋" w:eastAsia="仿宋" w:cs="宋体"/>
          <w:b/>
          <w:color w:val="333333"/>
          <w:kern w:val="0"/>
          <w:sz w:val="18"/>
          <w:szCs w:val="18"/>
        </w:rPr>
      </w:pPr>
      <w:r>
        <w:rPr>
          <w:rFonts w:hint="eastAsia" w:ascii="楷体" w:hAnsi="楷体" w:eastAsia="楷体" w:cs="宋体"/>
          <w:sz w:val="32"/>
          <w:szCs w:val="32"/>
        </w:rPr>
        <w:t>二、机构设置情况</w:t>
      </w:r>
    </w:p>
    <w:p>
      <w:pPr>
        <w:widowControl/>
        <w:spacing w:line="324" w:lineRule="atLeast"/>
        <w:ind w:left="540"/>
        <w:jc w:val="left"/>
        <w:rPr>
          <w:rFonts w:ascii="仿宋" w:hAnsi="仿宋" w:eastAsia="仿宋" w:cs="宋体"/>
          <w:b/>
          <w:color w:val="333333"/>
          <w:kern w:val="0"/>
          <w:sz w:val="18"/>
          <w:szCs w:val="18"/>
        </w:rPr>
      </w:pPr>
      <w:r>
        <w:rPr>
          <w:rFonts w:hint="eastAsia" w:ascii="仿宋" w:hAnsi="仿宋" w:eastAsia="仿宋" w:cs="宋体"/>
          <w:b/>
          <w:color w:val="333333"/>
          <w:kern w:val="0"/>
          <w:sz w:val="32"/>
          <w:szCs w:val="32"/>
        </w:rPr>
        <w:t>（一）部门决算单位构成</w:t>
      </w:r>
    </w:p>
    <w:p>
      <w:pPr>
        <w:pStyle w:val="5"/>
        <w:widowControl/>
        <w:spacing w:before="0" w:beforeAutospacing="0" w:after="0" w:afterAutospacing="0"/>
        <w:ind w:firstLine="640" w:firstLineChars="200"/>
        <w:rPr>
          <w:rFonts w:ascii="仿宋_GB2312" w:eastAsia="仿宋_GB2312"/>
          <w:sz w:val="32"/>
          <w:szCs w:val="32"/>
        </w:rPr>
      </w:pPr>
      <w:r>
        <w:rPr>
          <w:rFonts w:hint="eastAsia" w:ascii="仿宋_GB2312" w:eastAsia="仿宋_GB2312"/>
          <w:sz w:val="32"/>
          <w:szCs w:val="32"/>
        </w:rPr>
        <w:t>县委政法委设下列内设机构：综合办公室、政工股、督查督办室、社会治理股、维稳股。</w:t>
      </w:r>
    </w:p>
    <w:p>
      <w:pPr>
        <w:widowControl/>
        <w:spacing w:line="324" w:lineRule="atLeast"/>
        <w:ind w:firstLine="642" w:firstLineChars="200"/>
        <w:jc w:val="left"/>
        <w:rPr>
          <w:rFonts w:ascii="仿宋" w:hAnsi="仿宋" w:eastAsia="仿宋" w:cs="宋体"/>
          <w:b/>
          <w:color w:val="333333"/>
          <w:kern w:val="0"/>
          <w:sz w:val="32"/>
          <w:szCs w:val="32"/>
        </w:rPr>
      </w:pPr>
      <w:r>
        <w:rPr>
          <w:rFonts w:hint="eastAsia" w:ascii="仿宋" w:hAnsi="仿宋" w:eastAsia="仿宋" w:cs="宋体"/>
          <w:b/>
          <w:color w:val="333333"/>
          <w:kern w:val="0"/>
          <w:sz w:val="32"/>
          <w:szCs w:val="32"/>
        </w:rPr>
        <w:t>（二）人员情况说明</w:t>
      </w:r>
    </w:p>
    <w:p>
      <w:pPr>
        <w:widowControl/>
        <w:spacing w:line="324" w:lineRule="atLeast"/>
        <w:ind w:firstLine="537" w:firstLineChars="168"/>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武乡县委政法委人员编制共17人，其中行政人员9人，事业人员8人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含参照公务员法管理人员2人；财政补助人员0人</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w:t>
      </w:r>
    </w:p>
    <w:p>
      <w:pPr>
        <w:widowControl/>
        <w:spacing w:line="324" w:lineRule="atLeast"/>
        <w:ind w:firstLine="537" w:firstLineChars="168"/>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武乡县委政法委2022年末实有人数共17人，其中在职人员15人，离退休人员2人。</w:t>
      </w:r>
    </w:p>
    <w:p>
      <w:pPr>
        <w:ind w:firstLine="640" w:firstLineChars="200"/>
        <w:rPr>
          <w:rFonts w:ascii="黑体" w:hAnsi="黑体" w:eastAsia="黑体" w:cs="宋体"/>
          <w:sz w:val="32"/>
          <w:szCs w:val="32"/>
        </w:rPr>
      </w:pPr>
      <w:r>
        <w:rPr>
          <w:rFonts w:hint="eastAsia" w:ascii="黑体" w:hAnsi="黑体" w:eastAsia="黑体" w:cs="宋体"/>
          <w:sz w:val="32"/>
          <w:szCs w:val="32"/>
        </w:rPr>
        <w:t>第二部分</w:t>
      </w:r>
      <w:r>
        <w:rPr>
          <w:rFonts w:ascii="黑体" w:hAnsi="黑体" w:eastAsia="黑体" w:cs="宋体"/>
          <w:sz w:val="32"/>
          <w:szCs w:val="32"/>
        </w:rPr>
        <w:t xml:space="preserve">  202</w:t>
      </w:r>
      <w:r>
        <w:rPr>
          <w:rFonts w:hint="eastAsia" w:ascii="黑体" w:hAnsi="黑体" w:eastAsia="黑体" w:cs="宋体"/>
          <w:sz w:val="32"/>
          <w:szCs w:val="32"/>
        </w:rPr>
        <w:t>2年度部门（单位）决算表</w:t>
      </w:r>
    </w:p>
    <w:p>
      <w:pPr>
        <w:ind w:firstLine="640"/>
        <w:rPr>
          <w:rFonts w:ascii="仿宋" w:hAnsi="仿宋" w:eastAsia="仿宋"/>
          <w:sz w:val="32"/>
        </w:rPr>
      </w:pPr>
      <w:r>
        <w:rPr>
          <w:rFonts w:hint="eastAsia" w:ascii="仿宋" w:hAnsi="仿宋" w:eastAsia="仿宋"/>
          <w:sz w:val="32"/>
        </w:rPr>
        <w:t>一、收入支出决算总表</w:t>
      </w:r>
    </w:p>
    <w:p>
      <w:r>
        <w:rPr>
          <w:rFonts w:hint="eastAsia"/>
        </w:rPr>
        <w:drawing>
          <wp:inline distT="0" distB="0" distL="114300" distR="114300">
            <wp:extent cx="5269230" cy="4199890"/>
            <wp:effectExtent l="0" t="0" r="7620" b="10160"/>
            <wp:docPr id="1" name="图片 1" descr="0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true"/>
                    </pic:cNvPicPr>
                  </pic:nvPicPr>
                  <pic:blipFill>
                    <a:blip r:embed="rId4"/>
                    <a:stretch>
                      <a:fillRect/>
                    </a:stretch>
                  </pic:blipFill>
                  <pic:spPr>
                    <a:xfrm>
                      <a:off x="0" y="0"/>
                      <a:ext cx="5269230" cy="4199890"/>
                    </a:xfrm>
                    <a:prstGeom prst="rect">
                      <a:avLst/>
                    </a:prstGeom>
                  </pic:spPr>
                </pic:pic>
              </a:graphicData>
            </a:graphic>
          </wp:inline>
        </w:drawing>
      </w:r>
    </w:p>
    <w:p>
      <w:pPr>
        <w:ind w:firstLine="640"/>
        <w:rPr>
          <w:rFonts w:ascii="仿宋" w:hAnsi="仿宋" w:eastAsia="仿宋"/>
          <w:sz w:val="32"/>
        </w:rPr>
      </w:pPr>
      <w:r>
        <w:rPr>
          <w:rFonts w:hint="eastAsia" w:ascii="仿宋" w:hAnsi="仿宋" w:eastAsia="仿宋"/>
          <w:sz w:val="32"/>
        </w:rPr>
        <w:t>二、收入决算表</w:t>
      </w:r>
    </w:p>
    <w:p>
      <w:pPr>
        <w:rPr>
          <w:rFonts w:ascii="仿宋" w:hAnsi="仿宋" w:eastAsia="仿宋"/>
          <w:sz w:val="32"/>
        </w:rPr>
      </w:pPr>
      <w:r>
        <w:rPr>
          <w:rFonts w:hint="eastAsia" w:ascii="仿宋" w:hAnsi="仿宋" w:eastAsia="仿宋"/>
          <w:sz w:val="32"/>
        </w:rPr>
        <w:drawing>
          <wp:inline distT="0" distB="0" distL="114300" distR="114300">
            <wp:extent cx="5262880" cy="2598420"/>
            <wp:effectExtent l="0" t="0" r="13970" b="11430"/>
            <wp:docPr id="2" name="图片 2" descr="0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02"/>
                    <pic:cNvPicPr>
                      <a:picLocks noChangeAspect="true"/>
                    </pic:cNvPicPr>
                  </pic:nvPicPr>
                  <pic:blipFill>
                    <a:blip r:embed="rId5"/>
                    <a:stretch>
                      <a:fillRect/>
                    </a:stretch>
                  </pic:blipFill>
                  <pic:spPr>
                    <a:xfrm>
                      <a:off x="0" y="0"/>
                      <a:ext cx="5262880" cy="2598420"/>
                    </a:xfrm>
                    <a:prstGeom prst="rect">
                      <a:avLst/>
                    </a:prstGeom>
                  </pic:spPr>
                </pic:pic>
              </a:graphicData>
            </a:graphic>
          </wp:inline>
        </w:drawing>
      </w:r>
    </w:p>
    <w:p>
      <w:pPr>
        <w:ind w:firstLine="640"/>
        <w:rPr>
          <w:rFonts w:ascii="仿宋" w:hAnsi="仿宋" w:eastAsia="仿宋"/>
          <w:sz w:val="32"/>
        </w:rPr>
      </w:pPr>
      <w:r>
        <w:rPr>
          <w:rFonts w:hint="eastAsia" w:ascii="仿宋" w:hAnsi="仿宋" w:eastAsia="仿宋"/>
          <w:sz w:val="32"/>
        </w:rPr>
        <w:t>三、支出决算表</w:t>
      </w:r>
    </w:p>
    <w:p>
      <w:pPr>
        <w:rPr>
          <w:rFonts w:ascii="仿宋" w:hAnsi="仿宋" w:eastAsia="仿宋"/>
          <w:sz w:val="32"/>
        </w:rPr>
      </w:pPr>
      <w:r>
        <w:rPr>
          <w:rFonts w:hint="eastAsia" w:ascii="仿宋" w:hAnsi="仿宋" w:eastAsia="仿宋"/>
          <w:sz w:val="32"/>
        </w:rPr>
        <w:drawing>
          <wp:inline distT="0" distB="0" distL="114300" distR="114300">
            <wp:extent cx="5269230" cy="2984500"/>
            <wp:effectExtent l="0" t="0" r="7620" b="6350"/>
            <wp:docPr id="3" name="图片 3" descr="0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03"/>
                    <pic:cNvPicPr>
                      <a:picLocks noChangeAspect="true"/>
                    </pic:cNvPicPr>
                  </pic:nvPicPr>
                  <pic:blipFill>
                    <a:blip r:embed="rId6"/>
                    <a:stretch>
                      <a:fillRect/>
                    </a:stretch>
                  </pic:blipFill>
                  <pic:spPr>
                    <a:xfrm>
                      <a:off x="0" y="0"/>
                      <a:ext cx="5269230" cy="298450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财政拨款收入支出决算总表</w:t>
      </w:r>
    </w:p>
    <w:p>
      <w:pPr>
        <w:rPr>
          <w:rFonts w:ascii="仿宋" w:hAnsi="仿宋" w:eastAsia="仿宋"/>
          <w:sz w:val="32"/>
        </w:rPr>
      </w:pPr>
      <w:r>
        <w:rPr>
          <w:rFonts w:hint="eastAsia" w:ascii="仿宋" w:hAnsi="仿宋" w:eastAsia="仿宋"/>
          <w:sz w:val="32"/>
        </w:rPr>
        <w:drawing>
          <wp:inline distT="0" distB="0" distL="114300" distR="114300">
            <wp:extent cx="5267325" cy="3853180"/>
            <wp:effectExtent l="0" t="0" r="9525" b="13970"/>
            <wp:docPr id="4" name="图片 4" descr="0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04"/>
                    <pic:cNvPicPr>
                      <a:picLocks noChangeAspect="true"/>
                    </pic:cNvPicPr>
                  </pic:nvPicPr>
                  <pic:blipFill>
                    <a:blip r:embed="rId7"/>
                    <a:stretch>
                      <a:fillRect/>
                    </a:stretch>
                  </pic:blipFill>
                  <pic:spPr>
                    <a:xfrm>
                      <a:off x="0" y="0"/>
                      <a:ext cx="5267325" cy="385318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一般公共预算财政拨款支出决算表（一）</w:t>
      </w:r>
    </w:p>
    <w:p>
      <w:pPr>
        <w:rPr>
          <w:rFonts w:ascii="仿宋" w:hAnsi="仿宋" w:eastAsia="仿宋"/>
          <w:sz w:val="32"/>
        </w:rPr>
      </w:pPr>
      <w:r>
        <w:rPr>
          <w:rFonts w:hint="eastAsia" w:ascii="仿宋" w:hAnsi="仿宋" w:eastAsia="仿宋"/>
          <w:sz w:val="32"/>
        </w:rPr>
        <w:drawing>
          <wp:inline distT="0" distB="0" distL="114300" distR="114300">
            <wp:extent cx="5271135" cy="3951605"/>
            <wp:effectExtent l="0" t="0" r="5715" b="10795"/>
            <wp:docPr id="5" name="图片 5" descr="05"/>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05"/>
                    <pic:cNvPicPr>
                      <a:picLocks noChangeAspect="true"/>
                    </pic:cNvPicPr>
                  </pic:nvPicPr>
                  <pic:blipFill>
                    <a:blip r:embed="rId8"/>
                    <a:stretch>
                      <a:fillRect/>
                    </a:stretch>
                  </pic:blipFill>
                  <pic:spPr>
                    <a:xfrm>
                      <a:off x="0" y="0"/>
                      <a:ext cx="5271135" cy="3951605"/>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一般公共预算财政拨款支出决算表（二）</w:t>
      </w:r>
    </w:p>
    <w:p>
      <w:pPr>
        <w:rPr>
          <w:rFonts w:ascii="仿宋" w:hAnsi="仿宋" w:eastAsia="仿宋"/>
          <w:sz w:val="32"/>
        </w:rPr>
      </w:pPr>
      <w:r>
        <w:rPr>
          <w:rFonts w:hint="eastAsia" w:ascii="仿宋" w:hAnsi="仿宋" w:eastAsia="仿宋"/>
          <w:sz w:val="32"/>
        </w:rPr>
        <w:drawing>
          <wp:inline distT="0" distB="0" distL="114300" distR="114300">
            <wp:extent cx="5270500" cy="1763395"/>
            <wp:effectExtent l="0" t="0" r="6350" b="8255"/>
            <wp:docPr id="6" name="图片 6" descr="0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06"/>
                    <pic:cNvPicPr>
                      <a:picLocks noChangeAspect="true"/>
                    </pic:cNvPicPr>
                  </pic:nvPicPr>
                  <pic:blipFill>
                    <a:blip r:embed="rId9"/>
                    <a:stretch>
                      <a:fillRect/>
                    </a:stretch>
                  </pic:blipFill>
                  <pic:spPr>
                    <a:xfrm>
                      <a:off x="0" y="0"/>
                      <a:ext cx="5270500" cy="1763395"/>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一般公共预算财政拨款“三公”经费支出决算表</w:t>
      </w:r>
    </w:p>
    <w:p>
      <w:pPr>
        <w:rPr>
          <w:rFonts w:ascii="仿宋" w:hAnsi="仿宋" w:eastAsia="仿宋"/>
          <w:sz w:val="32"/>
        </w:rPr>
      </w:pPr>
      <w:r>
        <w:rPr>
          <w:rFonts w:ascii="仿宋" w:hAnsi="仿宋" w:eastAsia="仿宋"/>
          <w:sz w:val="32"/>
        </w:rPr>
        <w:drawing>
          <wp:inline distT="0" distB="0" distL="114300" distR="114300">
            <wp:extent cx="5269230" cy="1638300"/>
            <wp:effectExtent l="0" t="0" r="7620" b="0"/>
            <wp:docPr id="7" name="图片 7" descr="0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07"/>
                    <pic:cNvPicPr>
                      <a:picLocks noChangeAspect="true"/>
                    </pic:cNvPicPr>
                  </pic:nvPicPr>
                  <pic:blipFill>
                    <a:blip r:embed="rId10"/>
                    <a:stretch>
                      <a:fillRect/>
                    </a:stretch>
                  </pic:blipFill>
                  <pic:spPr>
                    <a:xfrm>
                      <a:off x="0" y="0"/>
                      <a:ext cx="5269230" cy="1638300"/>
                    </a:xfrm>
                    <a:prstGeom prst="rect">
                      <a:avLst/>
                    </a:prstGeom>
                  </pic:spPr>
                </pic:pic>
              </a:graphicData>
            </a:graphic>
          </wp:inline>
        </w:drawing>
      </w:r>
    </w:p>
    <w:p>
      <w:pPr>
        <w:numPr>
          <w:ilvl w:val="0"/>
          <w:numId w:val="1"/>
        </w:numPr>
        <w:ind w:firstLine="640"/>
        <w:rPr>
          <w:rFonts w:ascii="仿宋" w:hAnsi="仿宋" w:eastAsia="仿宋"/>
          <w:sz w:val="32"/>
        </w:rPr>
      </w:pPr>
      <w:r>
        <w:rPr>
          <w:rFonts w:hint="eastAsia" w:ascii="仿宋" w:hAnsi="仿宋" w:eastAsia="仿宋"/>
          <w:sz w:val="32"/>
        </w:rPr>
        <w:t>政府性基金预算财政拨款收入支出决算表</w:t>
      </w:r>
    </w:p>
    <w:p>
      <w:pPr>
        <w:rPr>
          <w:rFonts w:ascii="仿宋" w:hAnsi="仿宋" w:eastAsia="仿宋"/>
          <w:sz w:val="32"/>
        </w:rPr>
      </w:pPr>
      <w:r>
        <w:rPr>
          <w:rFonts w:ascii="仿宋" w:hAnsi="仿宋" w:eastAsia="仿宋"/>
          <w:sz w:val="32"/>
        </w:rPr>
        <w:drawing>
          <wp:inline distT="0" distB="0" distL="114300" distR="114300">
            <wp:extent cx="5265420" cy="1771650"/>
            <wp:effectExtent l="0" t="0" r="11430" b="0"/>
            <wp:docPr id="8" name="图片 8" descr="0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08"/>
                    <pic:cNvPicPr>
                      <a:picLocks noChangeAspect="true"/>
                    </pic:cNvPicPr>
                  </pic:nvPicPr>
                  <pic:blipFill>
                    <a:blip r:embed="rId11"/>
                    <a:stretch>
                      <a:fillRect/>
                    </a:stretch>
                  </pic:blipFill>
                  <pic:spPr>
                    <a:xfrm>
                      <a:off x="0" y="0"/>
                      <a:ext cx="5265420" cy="1771650"/>
                    </a:xfrm>
                    <a:prstGeom prst="rect">
                      <a:avLst/>
                    </a:prstGeom>
                  </pic:spPr>
                </pic:pic>
              </a:graphicData>
            </a:graphic>
          </wp:inline>
        </w:drawing>
      </w:r>
    </w:p>
    <w:p>
      <w:pPr>
        <w:jc w:val="left"/>
        <w:rPr>
          <w:rFonts w:ascii="仿宋" w:hAnsi="仿宋" w:eastAsia="仿宋"/>
          <w:sz w:val="32"/>
        </w:rPr>
      </w:pPr>
      <w:r>
        <w:rPr>
          <w:rFonts w:hint="eastAsia" w:ascii="仿宋" w:hAnsi="仿宋" w:eastAsia="仿宋"/>
          <w:sz w:val="32"/>
        </w:rPr>
        <w:t>说明：武乡县政法委员会没有使用政府性基金预算安排支出，故本表无数据。</w:t>
      </w:r>
    </w:p>
    <w:p>
      <w:pPr>
        <w:numPr>
          <w:ilvl w:val="0"/>
          <w:numId w:val="1"/>
        </w:numPr>
        <w:ind w:firstLine="640"/>
        <w:rPr>
          <w:rFonts w:ascii="仿宋" w:hAnsi="仿宋" w:eastAsia="仿宋"/>
          <w:sz w:val="32"/>
        </w:rPr>
      </w:pPr>
      <w:r>
        <w:rPr>
          <w:rFonts w:hint="eastAsia" w:ascii="仿宋" w:hAnsi="仿宋" w:eastAsia="仿宋"/>
          <w:sz w:val="32"/>
        </w:rPr>
        <w:t>国有资本经营预算财政拨款支出决算表</w:t>
      </w:r>
    </w:p>
    <w:p>
      <w:pPr>
        <w:rPr>
          <w:rFonts w:ascii="仿宋" w:hAnsi="仿宋" w:eastAsia="仿宋"/>
          <w:sz w:val="32"/>
        </w:rPr>
      </w:pPr>
      <w:r>
        <w:rPr>
          <w:rFonts w:hint="eastAsia" w:ascii="仿宋" w:hAnsi="仿宋" w:eastAsia="仿宋"/>
          <w:sz w:val="32"/>
        </w:rPr>
        <w:drawing>
          <wp:inline distT="0" distB="0" distL="114300" distR="114300">
            <wp:extent cx="5274310" cy="2648585"/>
            <wp:effectExtent l="0" t="0" r="2540" b="18415"/>
            <wp:docPr id="9" name="图片 9" descr="0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09"/>
                    <pic:cNvPicPr>
                      <a:picLocks noChangeAspect="true"/>
                    </pic:cNvPicPr>
                  </pic:nvPicPr>
                  <pic:blipFill>
                    <a:blip r:embed="rId12"/>
                    <a:stretch>
                      <a:fillRect/>
                    </a:stretch>
                  </pic:blipFill>
                  <pic:spPr>
                    <a:xfrm>
                      <a:off x="0" y="0"/>
                      <a:ext cx="5274310" cy="2648585"/>
                    </a:xfrm>
                    <a:prstGeom prst="rect">
                      <a:avLst/>
                    </a:prstGeom>
                  </pic:spPr>
                </pic:pic>
              </a:graphicData>
            </a:graphic>
          </wp:inline>
        </w:drawing>
      </w:r>
    </w:p>
    <w:p>
      <w:pPr>
        <w:rPr>
          <w:rFonts w:ascii="仿宋" w:hAnsi="仿宋" w:eastAsia="仿宋"/>
          <w:sz w:val="32"/>
        </w:rPr>
      </w:pPr>
      <w:r>
        <w:rPr>
          <w:rFonts w:hint="eastAsia" w:ascii="仿宋" w:hAnsi="仿宋" w:eastAsia="仿宋"/>
          <w:sz w:val="32"/>
        </w:rPr>
        <w:t>说明：武乡县政法委员会没有国有资本经营预算安排支出，故本表无数据。</w:t>
      </w:r>
    </w:p>
    <w:p>
      <w:pPr>
        <w:numPr>
          <w:ilvl w:val="0"/>
          <w:numId w:val="1"/>
        </w:numPr>
        <w:ind w:firstLine="640"/>
        <w:rPr>
          <w:rFonts w:ascii="仿宋" w:hAnsi="仿宋" w:eastAsia="仿宋"/>
          <w:sz w:val="32"/>
        </w:rPr>
      </w:pPr>
      <w:r>
        <w:rPr>
          <w:rFonts w:hint="eastAsia" w:ascii="仿宋" w:hAnsi="仿宋" w:eastAsia="仿宋"/>
          <w:sz w:val="32"/>
        </w:rPr>
        <w:t>部门决算公开相关信息统计表</w:t>
      </w:r>
    </w:p>
    <w:p>
      <w:pPr>
        <w:rPr>
          <w:rFonts w:ascii="仿宋" w:hAnsi="仿宋" w:eastAsia="仿宋"/>
          <w:sz w:val="32"/>
        </w:rPr>
      </w:pPr>
      <w:r>
        <w:rPr>
          <w:rFonts w:hint="eastAsia" w:ascii="仿宋" w:hAnsi="仿宋" w:eastAsia="仿宋"/>
          <w:sz w:val="32"/>
        </w:rPr>
        <w:drawing>
          <wp:inline distT="0" distB="0" distL="114300" distR="114300">
            <wp:extent cx="5273040" cy="5020310"/>
            <wp:effectExtent l="0" t="0" r="3810" b="8890"/>
            <wp:docPr id="10" name="图片 10" descr="1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10"/>
                    <pic:cNvPicPr>
                      <a:picLocks noChangeAspect="true"/>
                    </pic:cNvPicPr>
                  </pic:nvPicPr>
                  <pic:blipFill>
                    <a:blip r:embed="rId13"/>
                    <a:stretch>
                      <a:fillRect/>
                    </a:stretch>
                  </pic:blipFill>
                  <pic:spPr>
                    <a:xfrm>
                      <a:off x="0" y="0"/>
                      <a:ext cx="5273040" cy="5020310"/>
                    </a:xfrm>
                    <a:prstGeom prst="rect">
                      <a:avLst/>
                    </a:prstGeom>
                  </pic:spPr>
                </pic:pic>
              </a:graphicData>
            </a:graphic>
          </wp:inline>
        </w:drawing>
      </w:r>
    </w:p>
    <w:p>
      <w:pPr>
        <w:rPr>
          <w:rFonts w:ascii="仿宋_GB2312" w:hAnsi="楷体"/>
        </w:rPr>
      </w:pPr>
    </w:p>
    <w:p>
      <w:pPr>
        <w:ind w:firstLine="640" w:firstLineChars="200"/>
        <w:rPr>
          <w:rFonts w:ascii="黑体" w:hAnsi="黑体" w:eastAsia="黑体" w:cs="宋体"/>
          <w:sz w:val="32"/>
          <w:szCs w:val="32"/>
        </w:rPr>
      </w:pPr>
      <w:r>
        <w:rPr>
          <w:rFonts w:hint="eastAsia" w:ascii="黑体" w:hAnsi="黑体" w:eastAsia="黑体" w:cs="宋体"/>
          <w:sz w:val="32"/>
          <w:szCs w:val="32"/>
        </w:rPr>
        <w:t>第三部分</w:t>
      </w:r>
      <w:r>
        <w:rPr>
          <w:rFonts w:ascii="黑体" w:hAnsi="黑体" w:eastAsia="黑体" w:cs="宋体"/>
          <w:sz w:val="32"/>
          <w:szCs w:val="32"/>
        </w:rPr>
        <w:t xml:space="preserve">  202</w:t>
      </w:r>
      <w:r>
        <w:rPr>
          <w:rFonts w:hint="eastAsia" w:ascii="黑体" w:hAnsi="黑体" w:eastAsia="黑体" w:cs="宋体"/>
          <w:sz w:val="32"/>
          <w:szCs w:val="32"/>
        </w:rPr>
        <w:t>2年度部门（单位）决算情况说明</w:t>
      </w:r>
    </w:p>
    <w:p>
      <w:pPr>
        <w:ind w:firstLine="643"/>
        <w:rPr>
          <w:rFonts w:ascii="楷体" w:hAnsi="楷体" w:eastAsia="楷体"/>
        </w:rPr>
      </w:pPr>
      <w:r>
        <w:rPr>
          <w:rFonts w:hint="eastAsia" w:ascii="楷体" w:hAnsi="楷体" w:eastAsia="楷体"/>
          <w:sz w:val="32"/>
        </w:rPr>
        <w:t>一、收入支出决算总体情况说明</w:t>
      </w:r>
    </w:p>
    <w:p>
      <w:pPr>
        <w:ind w:firstLine="640"/>
        <w:rPr>
          <w:rFonts w:ascii="仿宋" w:hAnsi="仿宋" w:eastAsia="仿宋"/>
        </w:rPr>
      </w:pPr>
      <w:r>
        <w:rPr>
          <w:rFonts w:hint="eastAsia" w:ascii="仿宋" w:hAnsi="仿宋" w:eastAsia="仿宋"/>
          <w:sz w:val="32"/>
        </w:rPr>
        <w:t>2022年度收入总计</w:t>
      </w:r>
      <w:r>
        <w:rPr>
          <w:rFonts w:hint="eastAsia" w:ascii="仿宋" w:hAnsi="仿宋" w:eastAsia="仿宋"/>
          <w:sz w:val="32"/>
          <w:lang w:val="en-US" w:eastAsia="zh-CN"/>
        </w:rPr>
        <w:t>971.91</w:t>
      </w:r>
      <w:r>
        <w:rPr>
          <w:rFonts w:hint="eastAsia" w:ascii="仿宋" w:hAnsi="仿宋" w:eastAsia="仿宋"/>
          <w:sz w:val="32"/>
        </w:rPr>
        <w:t>万元、支出总计</w:t>
      </w:r>
      <w:r>
        <w:rPr>
          <w:rFonts w:hint="eastAsia" w:ascii="仿宋" w:hAnsi="仿宋" w:eastAsia="仿宋"/>
          <w:sz w:val="32"/>
          <w:lang w:val="en-US" w:eastAsia="zh-CN"/>
        </w:rPr>
        <w:t>971.91</w:t>
      </w:r>
      <w:r>
        <w:rPr>
          <w:rFonts w:hint="eastAsia" w:ascii="仿宋" w:hAnsi="仿宋" w:eastAsia="仿宋"/>
          <w:sz w:val="32"/>
        </w:rPr>
        <w:t>万元。与2021年相比，收入总计增加4</w:t>
      </w:r>
      <w:r>
        <w:rPr>
          <w:rFonts w:hint="eastAsia" w:ascii="仿宋" w:hAnsi="仿宋" w:eastAsia="仿宋"/>
          <w:sz w:val="32"/>
          <w:lang w:val="en-US" w:eastAsia="zh-CN"/>
        </w:rPr>
        <w:t>20.84</w:t>
      </w:r>
      <w:r>
        <w:rPr>
          <w:rFonts w:hint="eastAsia" w:ascii="仿宋" w:hAnsi="仿宋" w:eastAsia="仿宋"/>
          <w:sz w:val="32"/>
        </w:rPr>
        <w:t>万元，上升</w:t>
      </w:r>
      <w:r>
        <w:rPr>
          <w:rFonts w:hint="eastAsia" w:ascii="仿宋" w:hAnsi="仿宋" w:eastAsia="仿宋"/>
          <w:sz w:val="32"/>
          <w:lang w:val="en-US" w:eastAsia="zh-CN"/>
        </w:rPr>
        <w:t>76.36</w:t>
      </w:r>
      <w:r>
        <w:rPr>
          <w:rFonts w:hint="eastAsia" w:ascii="仿宋" w:hAnsi="仿宋" w:eastAsia="仿宋"/>
          <w:sz w:val="32"/>
        </w:rPr>
        <w:t>%，支出总计增加4</w:t>
      </w:r>
      <w:r>
        <w:rPr>
          <w:rFonts w:hint="eastAsia" w:ascii="仿宋" w:hAnsi="仿宋" w:eastAsia="仿宋"/>
          <w:sz w:val="32"/>
          <w:lang w:val="en-US" w:eastAsia="zh-CN"/>
        </w:rPr>
        <w:t>20.84</w:t>
      </w:r>
      <w:r>
        <w:rPr>
          <w:rFonts w:hint="eastAsia" w:ascii="仿宋" w:hAnsi="仿宋" w:eastAsia="仿宋"/>
          <w:sz w:val="32"/>
        </w:rPr>
        <w:t>万元，上升7</w:t>
      </w:r>
      <w:r>
        <w:rPr>
          <w:rFonts w:hint="eastAsia" w:ascii="仿宋" w:hAnsi="仿宋" w:eastAsia="仿宋"/>
          <w:sz w:val="32"/>
          <w:lang w:val="en-US" w:eastAsia="zh-CN"/>
        </w:rPr>
        <w:t>6.36</w:t>
      </w:r>
      <w:r>
        <w:rPr>
          <w:rFonts w:hint="eastAsia" w:ascii="仿宋" w:hAnsi="仿宋" w:eastAsia="仿宋"/>
          <w:sz w:val="32"/>
        </w:rPr>
        <w:t>%。主要原因是增加了网格员报酬补贴项目。</w:t>
      </w:r>
    </w:p>
    <w:p>
      <w:pPr>
        <w:spacing w:line="580" w:lineRule="exact"/>
        <w:ind w:firstLine="643"/>
        <w:outlineLvl w:val="0"/>
        <w:rPr>
          <w:rFonts w:ascii="楷体" w:hAnsi="楷体" w:eastAsia="楷体"/>
        </w:rPr>
      </w:pPr>
      <w:r>
        <w:rPr>
          <w:rFonts w:hint="eastAsia" w:ascii="楷体" w:hAnsi="楷体" w:eastAsia="楷体"/>
          <w:sz w:val="32"/>
        </w:rPr>
        <w:t>二、收入决算情况说明</w:t>
      </w:r>
    </w:p>
    <w:p>
      <w:pPr>
        <w:spacing w:line="580" w:lineRule="exact"/>
        <w:ind w:firstLine="640"/>
        <w:rPr>
          <w:rFonts w:ascii="仿宋" w:hAnsi="仿宋" w:eastAsia="仿宋"/>
        </w:rPr>
      </w:pPr>
      <w:r>
        <w:rPr>
          <w:rFonts w:hint="eastAsia" w:ascii="仿宋" w:hAnsi="仿宋" w:eastAsia="仿宋"/>
          <w:sz w:val="32"/>
        </w:rPr>
        <w:t>2022年度收入合计959.11万元，其中：财政拨款收入959.11万元，占比100%；上级补助收入0万元，占比0%；事业收入0万元，占比0%；经营收入0万元，占比0%；附属单位上缴收入0万元，占比0%；其他收入0万元，占比0%。</w:t>
      </w:r>
    </w:p>
    <w:p>
      <w:pPr>
        <w:spacing w:line="580" w:lineRule="exact"/>
        <w:ind w:firstLine="643"/>
        <w:rPr>
          <w:rFonts w:ascii="楷体" w:hAnsi="楷体" w:eastAsia="楷体"/>
        </w:rPr>
      </w:pPr>
      <w:r>
        <w:rPr>
          <w:rFonts w:hint="eastAsia" w:ascii="楷体" w:hAnsi="楷体" w:eastAsia="楷体"/>
          <w:sz w:val="32"/>
        </w:rPr>
        <w:t>三、支出决算情况说明</w:t>
      </w:r>
    </w:p>
    <w:p>
      <w:pPr>
        <w:spacing w:line="580" w:lineRule="exact"/>
        <w:ind w:firstLine="640"/>
        <w:rPr>
          <w:rFonts w:ascii="仿宋" w:hAnsi="仿宋" w:eastAsia="仿宋"/>
        </w:rPr>
      </w:pPr>
      <w:r>
        <w:rPr>
          <w:rFonts w:hint="eastAsia" w:ascii="仿宋" w:hAnsi="仿宋" w:eastAsia="仿宋"/>
          <w:sz w:val="32"/>
        </w:rPr>
        <w:t>2022年度支出合计971.91万元，其中：基本支出258.05万元，占比26.55%；项目支出713.86万元，占比73.45%；上缴上级支出0万元，占比0%，经营支出0万元，占比0%,对附属单位补助支出0万元，占比0%。</w:t>
      </w:r>
    </w:p>
    <w:p>
      <w:pPr>
        <w:spacing w:line="580" w:lineRule="exact"/>
        <w:ind w:firstLine="643"/>
        <w:rPr>
          <w:rFonts w:ascii="楷体" w:hAnsi="楷体" w:eastAsia="楷体"/>
        </w:rPr>
      </w:pPr>
      <w:r>
        <w:rPr>
          <w:rFonts w:hint="eastAsia" w:ascii="楷体" w:hAnsi="楷体" w:eastAsia="楷体"/>
          <w:sz w:val="32"/>
        </w:rPr>
        <w:t>四、财政拨款收入支出决算总体情况说明</w:t>
      </w:r>
    </w:p>
    <w:p>
      <w:pPr>
        <w:spacing w:line="580" w:lineRule="exact"/>
        <w:ind w:firstLine="640"/>
        <w:rPr>
          <w:rFonts w:ascii="仿宋" w:hAnsi="仿宋" w:eastAsia="仿宋"/>
        </w:rPr>
      </w:pPr>
      <w:r>
        <w:rPr>
          <w:rFonts w:hint="eastAsia" w:ascii="仿宋" w:hAnsi="仿宋" w:eastAsia="仿宋"/>
          <w:sz w:val="32"/>
        </w:rPr>
        <w:t>2022年度财政拨款收入总计971.91万元、支出总计971.91万元。与2021年相比，财政拨款收入总计增加420.84万元，上升76.37%，财政拨款支出总计增加420.84万元，上升76.37%。主要原因是增加了网格员报酬补贴项目。</w:t>
      </w:r>
    </w:p>
    <w:p>
      <w:pPr>
        <w:spacing w:line="580" w:lineRule="exact"/>
        <w:ind w:firstLine="643"/>
        <w:rPr>
          <w:rFonts w:ascii="楷体" w:hAnsi="楷体" w:eastAsia="楷体"/>
        </w:rPr>
      </w:pPr>
      <w:r>
        <w:rPr>
          <w:rFonts w:hint="eastAsia" w:ascii="楷体" w:hAnsi="楷体" w:eastAsia="楷体"/>
          <w:sz w:val="32"/>
        </w:rPr>
        <w:t>五、一般公共预算财政拨款支出决算情况说明</w:t>
      </w:r>
    </w:p>
    <w:p>
      <w:pPr>
        <w:spacing w:line="580" w:lineRule="exact"/>
        <w:ind w:firstLine="643"/>
        <w:rPr>
          <w:rFonts w:ascii="仿宋" w:hAnsi="仿宋" w:eastAsia="仿宋"/>
        </w:rPr>
      </w:pPr>
      <w:r>
        <w:rPr>
          <w:rFonts w:hint="eastAsia" w:ascii="仿宋" w:hAnsi="仿宋" w:eastAsia="仿宋"/>
          <w:sz w:val="32"/>
        </w:rPr>
        <w:t>（一）财政拨款支出决算总体情况</w:t>
      </w:r>
    </w:p>
    <w:p>
      <w:pPr>
        <w:spacing w:line="580" w:lineRule="exact"/>
        <w:ind w:firstLine="640"/>
        <w:rPr>
          <w:rFonts w:ascii="仿宋" w:hAnsi="仿宋" w:eastAsia="仿宋"/>
        </w:rPr>
      </w:pPr>
      <w:r>
        <w:rPr>
          <w:rFonts w:hint="eastAsia" w:ascii="仿宋" w:hAnsi="仿宋" w:eastAsia="仿宋"/>
          <w:sz w:val="32"/>
        </w:rPr>
        <w:t>2022年度财政拨款支出971.91万元，占本年支出合计的100%。与2021年相比，财政拨款支出增加420.84万元，下降76.37%。主要原因是增加了网格员报酬补贴项。其中，人员经费225.74万元，占比23.23%，日常公用经费32.31万元，占比3.32%。</w:t>
      </w:r>
    </w:p>
    <w:p>
      <w:pPr>
        <w:spacing w:line="580" w:lineRule="exact"/>
        <w:ind w:firstLine="643"/>
        <w:rPr>
          <w:rFonts w:ascii="仿宋" w:hAnsi="仿宋" w:eastAsia="仿宋"/>
        </w:rPr>
      </w:pPr>
      <w:r>
        <w:rPr>
          <w:rFonts w:hint="eastAsia" w:ascii="仿宋" w:hAnsi="仿宋" w:eastAsia="仿宋"/>
          <w:sz w:val="32"/>
        </w:rPr>
        <w:t>（二）财政拨款支出决算结构情况</w:t>
      </w:r>
    </w:p>
    <w:p>
      <w:pPr>
        <w:spacing w:line="580" w:lineRule="exact"/>
        <w:ind w:firstLine="640"/>
        <w:rPr>
          <w:rFonts w:ascii="仿宋" w:hAnsi="仿宋" w:eastAsia="仿宋"/>
          <w:b/>
        </w:rPr>
      </w:pPr>
      <w:r>
        <w:rPr>
          <w:rFonts w:hint="eastAsia" w:ascii="仿宋" w:hAnsi="仿宋" w:eastAsia="仿宋"/>
          <w:sz w:val="32"/>
        </w:rPr>
        <w:t>2022年度财政拨款支出</w:t>
      </w:r>
      <w:r>
        <w:rPr>
          <w:rFonts w:hint="eastAsia" w:ascii="仿宋" w:hAnsi="仿宋" w:eastAsia="仿宋"/>
          <w:sz w:val="32"/>
          <w:lang w:val="en-US" w:eastAsia="zh-CN"/>
        </w:rPr>
        <w:t>971.91</w:t>
      </w:r>
      <w:r>
        <w:rPr>
          <w:rFonts w:hint="eastAsia" w:ascii="仿宋" w:hAnsi="仿宋" w:eastAsia="仿宋"/>
          <w:sz w:val="32"/>
        </w:rPr>
        <w:t>万元，主要用于以下方面：</w:t>
      </w:r>
      <w:r>
        <w:rPr>
          <w:rFonts w:hint="eastAsia" w:ascii="仿宋" w:hAnsi="仿宋" w:eastAsia="仿宋"/>
          <w:b/>
          <w:sz w:val="32"/>
        </w:rPr>
        <w:t>一般公共服务（类）</w:t>
      </w:r>
      <w:r>
        <w:rPr>
          <w:rFonts w:hint="eastAsia" w:ascii="仿宋" w:hAnsi="仿宋" w:eastAsia="仿宋"/>
          <w:sz w:val="32"/>
        </w:rPr>
        <w:t>支出526.91万元，占54.85%；</w:t>
      </w:r>
      <w:r>
        <w:rPr>
          <w:rFonts w:hint="eastAsia" w:ascii="仿宋" w:hAnsi="仿宋" w:eastAsia="仿宋"/>
          <w:b/>
          <w:sz w:val="32"/>
        </w:rPr>
        <w:t>公共安全（类）</w:t>
      </w:r>
      <w:r>
        <w:rPr>
          <w:rFonts w:hint="eastAsia" w:ascii="仿宋" w:hAnsi="仿宋" w:eastAsia="仿宋"/>
          <w:sz w:val="32"/>
        </w:rPr>
        <w:t>支出387万元，占39.34%；</w:t>
      </w:r>
      <w:r>
        <w:rPr>
          <w:rFonts w:hint="eastAsia" w:ascii="仿宋" w:hAnsi="仿宋" w:eastAsia="仿宋"/>
          <w:b/>
          <w:sz w:val="32"/>
        </w:rPr>
        <w:t>社会保障和就业（类）</w:t>
      </w:r>
      <w:r>
        <w:rPr>
          <w:rFonts w:hint="eastAsia" w:ascii="仿宋" w:hAnsi="仿宋" w:eastAsia="仿宋"/>
          <w:sz w:val="32"/>
        </w:rPr>
        <w:t>支出20.73万元，占2.16%；</w:t>
      </w:r>
      <w:r>
        <w:rPr>
          <w:rFonts w:hint="eastAsia" w:ascii="仿宋" w:hAnsi="仿宋" w:eastAsia="仿宋"/>
          <w:b/>
          <w:sz w:val="32"/>
        </w:rPr>
        <w:t>卫生健康（类）</w:t>
      </w:r>
      <w:r>
        <w:rPr>
          <w:rFonts w:hint="eastAsia" w:ascii="仿宋" w:hAnsi="仿宋" w:eastAsia="仿宋"/>
          <w:sz w:val="32"/>
        </w:rPr>
        <w:t>支出17.11万元，占1.55%；</w:t>
      </w:r>
      <w:r>
        <w:rPr>
          <w:rFonts w:hint="eastAsia" w:ascii="仿宋" w:hAnsi="仿宋" w:eastAsia="仿宋"/>
          <w:b/>
          <w:sz w:val="32"/>
        </w:rPr>
        <w:t>住房保障（类）</w:t>
      </w:r>
      <w:r>
        <w:rPr>
          <w:rFonts w:hint="eastAsia" w:ascii="仿宋" w:hAnsi="仿宋" w:eastAsia="仿宋"/>
          <w:sz w:val="32"/>
        </w:rPr>
        <w:t>支出20.17万元，占2.10%；</w:t>
      </w:r>
    </w:p>
    <w:p>
      <w:pPr>
        <w:spacing w:line="580" w:lineRule="exact"/>
        <w:ind w:firstLine="643"/>
        <w:rPr>
          <w:rFonts w:ascii="仿宋" w:hAnsi="仿宋" w:eastAsia="仿宋"/>
        </w:rPr>
      </w:pPr>
      <w:r>
        <w:rPr>
          <w:rFonts w:hint="eastAsia" w:ascii="仿宋" w:hAnsi="仿宋" w:eastAsia="仿宋"/>
          <w:sz w:val="32"/>
        </w:rPr>
        <w:t>（</w:t>
      </w:r>
      <w:r>
        <w:rPr>
          <w:rFonts w:hint="eastAsia" w:ascii="仿宋" w:hAnsi="仿宋" w:eastAsia="仿宋"/>
          <w:color w:val="000000" w:themeColor="text1"/>
          <w:sz w:val="32"/>
        </w:rPr>
        <w:t>三）财政拨款支出决算具体情</w:t>
      </w:r>
      <w:r>
        <w:rPr>
          <w:rFonts w:hint="eastAsia" w:ascii="仿宋" w:hAnsi="仿宋" w:eastAsia="仿宋"/>
          <w:sz w:val="32"/>
        </w:rPr>
        <w:t>况</w:t>
      </w:r>
    </w:p>
    <w:p>
      <w:pPr>
        <w:spacing w:line="580" w:lineRule="exact"/>
        <w:ind w:firstLine="640"/>
        <w:rPr>
          <w:rFonts w:ascii="仿宋" w:hAnsi="仿宋" w:eastAsia="仿宋"/>
        </w:rPr>
      </w:pPr>
      <w:r>
        <w:rPr>
          <w:rFonts w:hint="eastAsia" w:ascii="仿宋" w:hAnsi="仿宋" w:eastAsia="仿宋"/>
          <w:sz w:val="32"/>
        </w:rPr>
        <w:t>2022年度财政拨款支出年初预算449.46万元，支出决算526.91万元，完成年初预算的117.23</w:t>
      </w:r>
      <w:r>
        <w:rPr>
          <w:rFonts w:ascii="仿宋" w:hAnsi="仿宋" w:eastAsia="仿宋"/>
          <w:sz w:val="32"/>
        </w:rPr>
        <w:t>%</w:t>
      </w:r>
      <w:r>
        <w:rPr>
          <w:rFonts w:hint="eastAsia" w:ascii="仿宋" w:hAnsi="仿宋" w:eastAsia="仿宋"/>
          <w:sz w:val="32"/>
        </w:rPr>
        <w:t>。其中：</w:t>
      </w:r>
    </w:p>
    <w:p>
      <w:pPr>
        <w:spacing w:line="580" w:lineRule="exact"/>
        <w:ind w:firstLine="640"/>
      </w:pPr>
      <w:r>
        <w:rPr>
          <w:rFonts w:hint="eastAsia" w:ascii="仿宋" w:hAnsi="仿宋" w:eastAsia="仿宋"/>
          <w:sz w:val="32"/>
        </w:rPr>
        <w:t>一般公共服务支出年初预算449.46万元，支出决算526.91万元完成年初预算的117.23%，用于网格员报酬补贴。较2021年决算增加24.16万元，增长4.38%，主要原因</w:t>
      </w:r>
      <w:r>
        <w:rPr>
          <w:rFonts w:hint="eastAsia" w:ascii="仿宋" w:hAnsi="仿宋" w:eastAsia="仿宋"/>
          <w:sz w:val="32"/>
          <w:lang w:eastAsia="zh-CN"/>
        </w:rPr>
        <w:t>招录专职兼职网格员</w:t>
      </w:r>
      <w:r>
        <w:rPr>
          <w:rFonts w:hint="eastAsia" w:ascii="仿宋" w:hAnsi="仿宋" w:eastAsia="仿宋"/>
          <w:sz w:val="32"/>
        </w:rPr>
        <w:t>，</w:t>
      </w:r>
      <w:r>
        <w:rPr>
          <w:rFonts w:hint="eastAsia" w:ascii="仿宋" w:hAnsi="仿宋" w:eastAsia="仿宋"/>
          <w:sz w:val="32"/>
          <w:lang w:eastAsia="zh-CN"/>
        </w:rPr>
        <w:t>用于工资发放，</w:t>
      </w:r>
      <w:r>
        <w:rPr>
          <w:rFonts w:hint="eastAsia" w:ascii="仿宋" w:hAnsi="仿宋" w:eastAsia="仿宋"/>
          <w:sz w:val="32"/>
        </w:rPr>
        <w:t>业务量</w:t>
      </w:r>
      <w:r>
        <w:rPr>
          <w:rFonts w:hint="eastAsia" w:ascii="仿宋" w:hAnsi="仿宋" w:eastAsia="仿宋"/>
          <w:sz w:val="32"/>
          <w:lang w:eastAsia="zh-CN"/>
        </w:rPr>
        <w:t>增加</w:t>
      </w:r>
      <w:r>
        <w:rPr>
          <w:rFonts w:hint="eastAsia" w:ascii="仿宋" w:hAnsi="仿宋" w:eastAsia="仿宋"/>
          <w:sz w:val="32"/>
        </w:rPr>
        <w:t>。</w:t>
      </w:r>
    </w:p>
    <w:p>
      <w:pPr>
        <w:spacing w:line="580" w:lineRule="exact"/>
        <w:ind w:firstLine="643"/>
        <w:rPr>
          <w:rFonts w:ascii="楷体" w:hAnsi="楷体" w:eastAsia="楷体"/>
        </w:rPr>
      </w:pPr>
      <w:r>
        <w:rPr>
          <w:rFonts w:hint="eastAsia" w:ascii="楷体" w:hAnsi="楷体" w:eastAsia="楷体"/>
          <w:sz w:val="32"/>
        </w:rPr>
        <w:t>六、一般公共预算财政拨款基本支出决算情况说明</w:t>
      </w:r>
    </w:p>
    <w:p>
      <w:pPr>
        <w:spacing w:line="580" w:lineRule="exact"/>
        <w:ind w:firstLine="640"/>
        <w:rPr>
          <w:rFonts w:ascii="仿宋" w:hAnsi="仿宋" w:eastAsia="仿宋"/>
        </w:rPr>
      </w:pPr>
      <w:r>
        <w:rPr>
          <w:rFonts w:hint="eastAsia" w:ascii="仿宋" w:hAnsi="仿宋" w:eastAsia="仿宋"/>
          <w:sz w:val="32"/>
        </w:rPr>
        <w:t>2022年度财政拨款基本支出258.05万元，其中：人员经费225.74万元，主要包括工资福利支出221.97万元：对个人和家庭的补助3.77万元；公用经费32.31万元，主要包括商品和服务支出32.31万元。</w:t>
      </w:r>
    </w:p>
    <w:p>
      <w:pPr>
        <w:spacing w:line="580" w:lineRule="exact"/>
        <w:ind w:firstLine="643"/>
        <w:outlineLvl w:val="0"/>
        <w:rPr>
          <w:rFonts w:ascii="楷体" w:hAnsi="楷体" w:eastAsia="楷体"/>
        </w:rPr>
      </w:pPr>
      <w:r>
        <w:rPr>
          <w:rFonts w:hint="eastAsia" w:ascii="楷体" w:hAnsi="楷体" w:eastAsia="楷体"/>
          <w:sz w:val="32"/>
        </w:rPr>
        <w:t>七、一般公共预算财政拨款“三公”经费支出决算情况说明</w:t>
      </w:r>
    </w:p>
    <w:p>
      <w:pPr>
        <w:spacing w:line="580" w:lineRule="exact"/>
        <w:ind w:firstLine="640"/>
        <w:rPr>
          <w:rFonts w:ascii="仿宋" w:hAnsi="仿宋" w:eastAsia="仿宋"/>
        </w:rPr>
      </w:pPr>
      <w:r>
        <w:rPr>
          <w:rFonts w:hint="eastAsia" w:ascii="仿宋" w:hAnsi="仿宋" w:eastAsia="仿宋"/>
          <w:sz w:val="32"/>
        </w:rPr>
        <w:t>（一）“三公”经费财政拨款支出决算总体情况说明</w:t>
      </w:r>
    </w:p>
    <w:p>
      <w:pPr>
        <w:spacing w:line="580" w:lineRule="exact"/>
        <w:ind w:firstLine="640"/>
        <w:rPr>
          <w:rFonts w:ascii="仿宋" w:hAnsi="仿宋" w:eastAsia="仿宋"/>
        </w:rPr>
      </w:pPr>
      <w:r>
        <w:rPr>
          <w:rFonts w:hint="eastAsia" w:ascii="仿宋" w:hAnsi="仿宋" w:eastAsia="仿宋"/>
          <w:sz w:val="32"/>
        </w:rPr>
        <w:t>2022年度“三公”经费财政拨款支出预算2万元，支出决算0.668万元，完成年初预算的35%，比上年度减少0.91万元，下降56.52%，主要原因是：业务量减少。其中因公出国（境）费支出0万元，</w:t>
      </w:r>
      <w:bookmarkStart w:id="0" w:name="_GoBack"/>
      <w:bookmarkEnd w:id="0"/>
      <w:r>
        <w:rPr>
          <w:rFonts w:hint="eastAsia" w:ascii="仿宋" w:hAnsi="仿宋" w:eastAsia="仿宋"/>
          <w:sz w:val="32"/>
        </w:rPr>
        <w:t>公务用车购置费支出0万元，公务用车运行维护费支出0万元，公务接待费支出0.668万元，完成年初预算的35%，比上年度减少0.91万元，下降56.52%，主要原因是：业务量减少。</w:t>
      </w:r>
    </w:p>
    <w:p>
      <w:pPr>
        <w:spacing w:line="580" w:lineRule="exact"/>
        <w:ind w:firstLine="640"/>
        <w:rPr>
          <w:rFonts w:ascii="仿宋" w:hAnsi="仿宋" w:eastAsia="仿宋"/>
        </w:rPr>
      </w:pPr>
      <w:r>
        <w:rPr>
          <w:rFonts w:hint="eastAsia" w:ascii="仿宋" w:hAnsi="仿宋" w:eastAsia="仿宋"/>
          <w:sz w:val="32"/>
        </w:rPr>
        <w:t>（二）“三公”经费财政拨款支出决算具体情况说明</w:t>
      </w:r>
    </w:p>
    <w:p>
      <w:pPr>
        <w:ind w:left="638" w:leftChars="304"/>
        <w:rPr>
          <w:rFonts w:ascii="仿宋" w:hAnsi="仿宋" w:eastAsia="仿宋"/>
        </w:rPr>
      </w:pPr>
      <w:r>
        <w:rPr>
          <w:rFonts w:hint="eastAsia" w:ascii="仿宋" w:hAnsi="仿宋" w:eastAsia="仿宋"/>
          <w:sz w:val="32"/>
        </w:rPr>
        <w:t>1、因公出国境费支出0万元，出国团组共0个，0人次。2、公务用车购置支出0万元，使用一般公共预算财政拨款共购置公务用车0辆，主要用于……用途。</w:t>
      </w:r>
    </w:p>
    <w:p>
      <w:pPr>
        <w:ind w:firstLine="640"/>
        <w:rPr>
          <w:rFonts w:hint="eastAsia" w:ascii="仿宋" w:hAnsi="仿宋" w:eastAsia="仿宋"/>
          <w:sz w:val="32"/>
        </w:rPr>
      </w:pPr>
      <w:r>
        <w:rPr>
          <w:rFonts w:hint="eastAsia" w:ascii="仿宋" w:hAnsi="仿宋" w:eastAsia="仿宋"/>
          <w:sz w:val="32"/>
        </w:rPr>
        <w:t>3、公务用车运行维护费支出0万元，使用一般公共预算财政拨款负担的公务用车保有量共0辆车。</w:t>
      </w:r>
    </w:p>
    <w:p>
      <w:pPr>
        <w:ind w:firstLine="480" w:firstLineChars="150"/>
        <w:rPr>
          <w:rFonts w:ascii="华文仿宋" w:hAnsi="华文仿宋" w:eastAsia="华文仿宋"/>
        </w:rPr>
      </w:pPr>
      <w:r>
        <w:rPr>
          <w:rFonts w:hint="eastAsia" w:ascii="仿宋" w:hAnsi="仿宋" w:eastAsia="仿宋"/>
          <w:sz w:val="32"/>
        </w:rPr>
        <w:t xml:space="preserve"> 4、公务接待费支出0.668万元，共接待7批次，143人次。国内接待费0.668万元，共接待7批次，143人次，其中外事接待费0万元，共接待0批次，0人次，国（境）外接待费0万元，共接待国（境）外0批次，0人次。</w:t>
      </w:r>
      <w:r>
        <w:rPr>
          <w:rFonts w:ascii="华文仿宋" w:hAnsi="华文仿宋" w:eastAsia="华文仿宋"/>
        </w:rPr>
        <w:t xml:space="preserve"> </w:t>
      </w:r>
    </w:p>
    <w:p>
      <w:pPr>
        <w:spacing w:line="580" w:lineRule="exact"/>
        <w:ind w:firstLine="643"/>
        <w:rPr>
          <w:rFonts w:ascii="楷体" w:hAnsi="楷体" w:eastAsia="楷体"/>
        </w:rPr>
      </w:pPr>
      <w:r>
        <w:rPr>
          <w:rFonts w:hint="eastAsia" w:ascii="楷体" w:hAnsi="楷体" w:eastAsia="楷体"/>
          <w:sz w:val="32"/>
        </w:rPr>
        <w:t>八、其他重要事项情况说明</w:t>
      </w:r>
    </w:p>
    <w:p>
      <w:pPr>
        <w:spacing w:line="580" w:lineRule="exact"/>
        <w:ind w:firstLine="643"/>
        <w:outlineLvl w:val="0"/>
        <w:rPr>
          <w:rFonts w:ascii="仿宋" w:hAnsi="仿宋" w:eastAsia="仿宋"/>
        </w:rPr>
      </w:pPr>
      <w:r>
        <w:rPr>
          <w:rFonts w:hint="eastAsia" w:ascii="仿宋" w:hAnsi="仿宋" w:eastAsia="仿宋"/>
          <w:sz w:val="32"/>
        </w:rPr>
        <w:t>（一）机关运行经费支出情况说明</w:t>
      </w:r>
    </w:p>
    <w:p>
      <w:pPr>
        <w:ind w:firstLine="640"/>
        <w:rPr>
          <w:rFonts w:ascii="仿宋" w:hAnsi="仿宋" w:eastAsia="仿宋"/>
          <w:b/>
        </w:rPr>
      </w:pPr>
      <w:r>
        <w:rPr>
          <w:rFonts w:hint="eastAsia" w:ascii="仿宋" w:hAnsi="仿宋" w:eastAsia="仿宋"/>
          <w:sz w:val="32"/>
        </w:rPr>
        <w:t>2022年机关运行经费支出32.31万元</w:t>
      </w:r>
      <w:r>
        <w:rPr>
          <w:rFonts w:hint="eastAsia" w:ascii="仿宋" w:hAnsi="仿宋" w:eastAsia="仿宋"/>
          <w:sz w:val="32"/>
          <w:lang w:eastAsia="zh-CN"/>
        </w:rPr>
        <w:t>，</w:t>
      </w:r>
      <w:r>
        <w:rPr>
          <w:rFonts w:hint="eastAsia" w:ascii="仿宋" w:hAnsi="仿宋" w:eastAsia="仿宋"/>
          <w:sz w:val="32"/>
        </w:rPr>
        <w:t>比2021年减少6.32万元，降低16.36%。主要原因是：办公设施设备购置经费减少，人员编制数量减少。</w:t>
      </w:r>
    </w:p>
    <w:p>
      <w:pPr>
        <w:spacing w:line="580" w:lineRule="exact"/>
        <w:ind w:firstLine="643"/>
        <w:outlineLvl w:val="0"/>
        <w:rPr>
          <w:rFonts w:ascii="仿宋" w:hAnsi="仿宋" w:eastAsia="仿宋"/>
        </w:rPr>
      </w:pPr>
      <w:r>
        <w:rPr>
          <w:rFonts w:hint="eastAsia" w:ascii="仿宋" w:hAnsi="仿宋" w:eastAsia="仿宋"/>
          <w:sz w:val="32"/>
        </w:rPr>
        <w:t>（二）政府采购情况说明</w:t>
      </w:r>
    </w:p>
    <w:p>
      <w:pPr>
        <w:spacing w:line="580" w:lineRule="exact"/>
        <w:ind w:firstLine="640"/>
        <w:rPr>
          <w:rFonts w:ascii="仿宋" w:hAnsi="仿宋" w:eastAsia="仿宋"/>
        </w:rPr>
      </w:pPr>
      <w:r>
        <w:rPr>
          <w:rFonts w:hint="eastAsia" w:ascii="仿宋" w:hAnsi="仿宋" w:eastAsia="仿宋"/>
          <w:sz w:val="32"/>
        </w:rPr>
        <w:t>2022年度政府采购支出总额31.12万元，其中：政府采购货物支出10.05万元、政府采购工程支出0万元、政府采购服务支出21.07万元。政府采购授予中小企业合同金额0万元，占政府采购支出总额的0%。其中：授予小微企业合同金额0万元，占政府采购支出总额的0%.</w:t>
      </w:r>
    </w:p>
    <w:p>
      <w:pPr>
        <w:spacing w:line="580" w:lineRule="exact"/>
        <w:ind w:firstLine="515" w:firstLineChars="161"/>
        <w:outlineLvl w:val="0"/>
        <w:rPr>
          <w:rFonts w:ascii="仿宋" w:hAnsi="仿宋" w:eastAsia="仿宋"/>
        </w:rPr>
      </w:pPr>
      <w:r>
        <w:rPr>
          <w:rFonts w:hint="eastAsia" w:ascii="仿宋" w:hAnsi="仿宋" w:eastAsia="仿宋"/>
          <w:sz w:val="32"/>
        </w:rPr>
        <w:t>（三）国有资产占用情况说明</w:t>
      </w:r>
    </w:p>
    <w:p>
      <w:pPr>
        <w:spacing w:line="580" w:lineRule="exact"/>
        <w:ind w:firstLine="640"/>
        <w:rPr>
          <w:rFonts w:ascii="仿宋_GB2312"/>
        </w:rPr>
      </w:pPr>
      <w:r>
        <w:rPr>
          <w:rFonts w:hint="eastAsia" w:ascii="仿宋" w:hAnsi="仿宋" w:eastAsia="仿宋"/>
          <w:sz w:val="32"/>
        </w:rPr>
        <w:t>截至2022年12月31日，本部门共有车辆0辆。其中，副部（省）级及以上领导用车0辆、主要领导干部用车0辆、机要通信用车0辆、应急保障用车0辆、执法执勤用车0辆、特种专业技术用车0辆、离退休干部用车0辆、其他用车0辆，其他用车主要是……；单价50万元（含）以上的通用设备0台（套），单价100万元（含）以上专用设备0台（套）。</w:t>
      </w:r>
    </w:p>
    <w:p>
      <w:pPr>
        <w:spacing w:line="580" w:lineRule="exact"/>
        <w:ind w:firstLine="515" w:firstLineChars="161"/>
        <w:outlineLvl w:val="0"/>
        <w:rPr>
          <w:rFonts w:ascii="仿宋" w:hAnsi="仿宋" w:eastAsia="仿宋"/>
        </w:rPr>
      </w:pPr>
      <w:r>
        <w:rPr>
          <w:rFonts w:hint="eastAsia" w:ascii="仿宋" w:hAnsi="仿宋" w:eastAsia="仿宋"/>
          <w:sz w:val="32"/>
        </w:rPr>
        <w:t>（四）预算绩效情况说明</w:t>
      </w:r>
    </w:p>
    <w:p>
      <w:pPr>
        <w:spacing w:line="580" w:lineRule="exact"/>
        <w:ind w:firstLine="640" w:firstLineChars="200"/>
        <w:outlineLvl w:val="0"/>
        <w:rPr>
          <w:rFonts w:ascii="仿宋" w:hAnsi="仿宋" w:eastAsia="仿宋"/>
        </w:rPr>
      </w:pPr>
      <w:r>
        <w:rPr>
          <w:rFonts w:hint="eastAsia" w:ascii="仿宋" w:hAnsi="仿宋" w:eastAsia="仿宋"/>
          <w:sz w:val="32"/>
        </w:rPr>
        <w:t>根据预算绩效管理要求，我部门组织对2022年度部门预算项目支出中其他运转类项目和特定目标类项目全面开展绩效自评。其中，一级项目 2 个，二级项目 7 个，共涉及资金617.5万元，占一般公共预算项目支出总额的117.20%。组织对 2022年度等0个政府性基金预算项目支出开展绩效自评，共涉及资金0万元，占政府性基金预算项目支出总额的0%。组织对 2022 年度0等0个国有资本经营预算项目支出开展绩效自评，共涉及资金0万元，占国有资本经营预算项目支出总额的0%。</w:t>
      </w:r>
    </w:p>
    <w:p>
      <w:pPr>
        <w:ind w:firstLine="640" w:firstLineChars="200"/>
        <w:rPr>
          <w:rFonts w:ascii="仿宋_GB2312"/>
          <w:sz w:val="32"/>
        </w:rPr>
      </w:pPr>
    </w:p>
    <w:p>
      <w:pPr>
        <w:ind w:firstLine="640" w:firstLineChars="200"/>
        <w:rPr>
          <w:rFonts w:ascii="仿宋" w:hAnsi="仿宋" w:eastAsia="仿宋"/>
        </w:rPr>
      </w:pPr>
      <w:r>
        <w:rPr>
          <w:rFonts w:hint="eastAsia" w:ascii="黑体" w:hAnsi="黑体" w:eastAsia="黑体" w:cs="宋体"/>
          <w:sz w:val="32"/>
          <w:szCs w:val="32"/>
        </w:rPr>
        <w:t>第四部分名词</w:t>
      </w:r>
    </w:p>
    <w:p>
      <w:pPr>
        <w:spacing w:line="580" w:lineRule="exact"/>
        <w:ind w:firstLine="629" w:firstLineChars="196"/>
        <w:rPr>
          <w:rFonts w:ascii="仿宋" w:hAnsi="仿宋" w:eastAsia="仿宋"/>
        </w:rPr>
      </w:pPr>
      <w:r>
        <w:rPr>
          <w:rFonts w:hint="eastAsia" w:ascii="仿宋" w:hAnsi="仿宋" w:eastAsia="仿宋"/>
          <w:b/>
          <w:sz w:val="32"/>
        </w:rPr>
        <w:t>财政拨款收入：</w:t>
      </w:r>
      <w:r>
        <w:rPr>
          <w:rFonts w:hint="eastAsia" w:ascii="仿宋" w:hAnsi="仿宋" w:eastAsia="仿宋"/>
          <w:sz w:val="32"/>
        </w:rPr>
        <w:t>指单位从同级财政部门取得的财政预算资金。</w:t>
      </w:r>
    </w:p>
    <w:p>
      <w:pPr>
        <w:spacing w:line="580" w:lineRule="exact"/>
        <w:ind w:firstLine="629" w:firstLineChars="196"/>
        <w:rPr>
          <w:rFonts w:ascii="仿宋" w:hAnsi="仿宋" w:eastAsia="仿宋"/>
        </w:rPr>
      </w:pPr>
      <w:r>
        <w:rPr>
          <w:rFonts w:hint="eastAsia" w:ascii="仿宋" w:hAnsi="仿宋" w:eastAsia="仿宋"/>
          <w:b/>
          <w:sz w:val="32"/>
        </w:rPr>
        <w:t>事业收入：</w:t>
      </w:r>
      <w:r>
        <w:rPr>
          <w:rFonts w:hint="eastAsia" w:ascii="仿宋" w:hAnsi="仿宋" w:eastAsia="仿宋"/>
          <w:sz w:val="32"/>
        </w:rPr>
        <w:t>指事业单位开展专业业务活动及辅助活动取得的收入。</w:t>
      </w:r>
    </w:p>
    <w:p>
      <w:pPr>
        <w:spacing w:line="580" w:lineRule="exact"/>
        <w:ind w:firstLine="642" w:firstLineChars="200"/>
        <w:rPr>
          <w:rFonts w:ascii="仿宋" w:hAnsi="仿宋" w:eastAsia="仿宋"/>
        </w:rPr>
      </w:pPr>
      <w:r>
        <w:rPr>
          <w:rFonts w:hint="eastAsia" w:ascii="仿宋" w:hAnsi="仿宋" w:eastAsia="仿宋"/>
          <w:b/>
          <w:sz w:val="32"/>
        </w:rPr>
        <w:t>经营收入：</w:t>
      </w:r>
      <w:r>
        <w:rPr>
          <w:rFonts w:hint="eastAsia" w:ascii="仿宋" w:hAnsi="仿宋" w:eastAsia="仿宋"/>
          <w:sz w:val="32"/>
        </w:rPr>
        <w:t>指事业单位在专业业务活动及其辅助活动之外开展非独立核算经营活动取得的收入。</w:t>
      </w:r>
    </w:p>
    <w:p>
      <w:pPr>
        <w:spacing w:line="580" w:lineRule="exact"/>
        <w:ind w:firstLine="642" w:firstLineChars="200"/>
        <w:rPr>
          <w:rFonts w:ascii="仿宋" w:hAnsi="仿宋" w:eastAsia="仿宋"/>
        </w:rPr>
      </w:pPr>
      <w:r>
        <w:rPr>
          <w:rFonts w:hint="eastAsia" w:ascii="仿宋" w:hAnsi="仿宋" w:eastAsia="仿宋"/>
          <w:b/>
          <w:sz w:val="32"/>
        </w:rPr>
        <w:t>其他收入：</w:t>
      </w:r>
      <w:r>
        <w:rPr>
          <w:rFonts w:hint="eastAsia" w:ascii="仿宋" w:hAnsi="仿宋" w:eastAsia="仿宋"/>
          <w:sz w:val="32"/>
        </w:rPr>
        <w:t>指单位取得的除上述收入以外的各项收入。主要是事业单位固定资产出租收入、存款利息收入等。</w:t>
      </w:r>
    </w:p>
    <w:p>
      <w:pPr>
        <w:spacing w:line="580" w:lineRule="exact"/>
        <w:ind w:firstLine="642" w:firstLineChars="200"/>
        <w:rPr>
          <w:rFonts w:ascii="仿宋" w:hAnsi="仿宋" w:eastAsia="仿宋"/>
        </w:rPr>
      </w:pPr>
      <w:r>
        <w:rPr>
          <w:rFonts w:hint="eastAsia" w:ascii="仿宋" w:hAnsi="仿宋" w:eastAsia="仿宋"/>
          <w:b/>
          <w:sz w:val="32"/>
        </w:rPr>
        <w:t>使用非财政拨款结余：</w:t>
      </w:r>
      <w:r>
        <w:rPr>
          <w:rFonts w:hint="eastAsia" w:ascii="仿宋" w:hAnsi="仿宋" w:eastAsia="仿宋"/>
          <w:sz w:val="32"/>
        </w:rPr>
        <w:t>指事业单位使用以前年度积累的非财政拨款结余弥补当年收支差额的金额。</w:t>
      </w:r>
    </w:p>
    <w:p>
      <w:pPr>
        <w:spacing w:line="580" w:lineRule="exact"/>
        <w:ind w:firstLine="642" w:firstLineChars="200"/>
        <w:rPr>
          <w:rFonts w:ascii="仿宋" w:hAnsi="仿宋" w:eastAsia="仿宋"/>
        </w:rPr>
      </w:pPr>
      <w:r>
        <w:rPr>
          <w:rFonts w:hint="eastAsia" w:ascii="仿宋" w:hAnsi="仿宋" w:eastAsia="仿宋"/>
          <w:b/>
          <w:sz w:val="32"/>
        </w:rPr>
        <w:t>年初结转和结余：</w:t>
      </w:r>
      <w:r>
        <w:rPr>
          <w:rFonts w:hint="eastAsia" w:ascii="仿宋" w:hAnsi="仿宋" w:eastAsia="仿宋"/>
          <w:sz w:val="32"/>
        </w:rPr>
        <w:t>指单位以前年度尚未完成、结转到本年仍按原规定用途继续使用的资金，或项目已完成等产生的结余资金。</w:t>
      </w:r>
    </w:p>
    <w:p>
      <w:pPr>
        <w:spacing w:line="580" w:lineRule="exact"/>
        <w:ind w:firstLine="642" w:firstLineChars="200"/>
        <w:rPr>
          <w:rFonts w:ascii="仿宋" w:hAnsi="仿宋" w:eastAsia="仿宋"/>
        </w:rPr>
      </w:pPr>
      <w:r>
        <w:rPr>
          <w:rFonts w:hint="eastAsia" w:ascii="仿宋" w:hAnsi="仿宋" w:eastAsia="仿宋"/>
          <w:b/>
          <w:sz w:val="32"/>
        </w:rPr>
        <w:t>结余分配：</w:t>
      </w:r>
      <w:r>
        <w:rPr>
          <w:rFonts w:hint="eastAsia" w:ascii="仿宋" w:hAnsi="仿宋" w:eastAsia="仿宋"/>
          <w:sz w:val="32"/>
        </w:rPr>
        <w:t>指事业单位按照会计制度规定缴纳的所得税、提取的专用结余以及转入非财政拨款结余的金额等。</w:t>
      </w:r>
    </w:p>
    <w:p>
      <w:pPr>
        <w:spacing w:line="580" w:lineRule="exact"/>
        <w:ind w:firstLine="640" w:firstLineChars="200"/>
        <w:rPr>
          <w:rFonts w:ascii="仿宋" w:hAnsi="仿宋" w:eastAsia="仿宋"/>
        </w:rPr>
      </w:pPr>
      <w:r>
        <w:rPr>
          <w:rFonts w:hint="eastAsia" w:ascii="仿宋" w:hAnsi="仿宋" w:eastAsia="仿宋"/>
          <w:sz w:val="32"/>
        </w:rPr>
        <w:t>年末结转和结余：指单位按有关规定结转到下年或以后年度继续使用的资金，或项目已完成等产生的结余资金。</w:t>
      </w:r>
    </w:p>
    <w:p>
      <w:pPr>
        <w:spacing w:line="580" w:lineRule="exact"/>
        <w:ind w:firstLine="642" w:firstLineChars="200"/>
        <w:rPr>
          <w:rFonts w:ascii="仿宋" w:hAnsi="仿宋" w:eastAsia="仿宋"/>
          <w:b/>
        </w:rPr>
      </w:pPr>
      <w:r>
        <w:rPr>
          <w:rFonts w:hint="eastAsia" w:ascii="仿宋" w:hAnsi="仿宋" w:eastAsia="仿宋"/>
          <w:b/>
          <w:sz w:val="32"/>
        </w:rPr>
        <w:t>基本支出：</w:t>
      </w:r>
      <w:r>
        <w:rPr>
          <w:rFonts w:hint="eastAsia" w:ascii="仿宋" w:hAnsi="仿宋" w:eastAsia="仿宋"/>
          <w:sz w:val="32"/>
        </w:rPr>
        <w:t>指为保障机构正常运转、完成日常工作任务而发生的人员支出和公用支出。</w:t>
      </w:r>
    </w:p>
    <w:p>
      <w:pPr>
        <w:autoSpaceDE w:val="0"/>
        <w:autoSpaceDN w:val="0"/>
        <w:adjustRightInd w:val="0"/>
        <w:ind w:firstLine="642" w:firstLineChars="200"/>
        <w:rPr>
          <w:rFonts w:ascii="仿宋" w:hAnsi="仿宋" w:eastAsia="仿宋"/>
        </w:rPr>
      </w:pPr>
      <w:r>
        <w:rPr>
          <w:rFonts w:hint="eastAsia" w:ascii="仿宋" w:hAnsi="仿宋" w:eastAsia="仿宋"/>
          <w:b/>
          <w:sz w:val="32"/>
        </w:rPr>
        <w:t>项目支出：</w:t>
      </w:r>
      <w:r>
        <w:rPr>
          <w:rFonts w:hint="eastAsia" w:ascii="仿宋" w:hAnsi="仿宋" w:eastAsia="仿宋"/>
          <w:sz w:val="32"/>
        </w:rPr>
        <w:t>指在基本支出之外为完成特定行政任务和事业发展目标所发生的支出。</w:t>
      </w:r>
    </w:p>
    <w:p>
      <w:pPr>
        <w:autoSpaceDE w:val="0"/>
        <w:autoSpaceDN w:val="0"/>
        <w:adjustRightInd w:val="0"/>
        <w:ind w:firstLine="642" w:firstLineChars="200"/>
        <w:rPr>
          <w:rFonts w:ascii="仿宋" w:hAnsi="仿宋" w:eastAsia="仿宋"/>
        </w:rPr>
      </w:pPr>
      <w:r>
        <w:rPr>
          <w:rFonts w:hint="eastAsia" w:ascii="仿宋" w:hAnsi="仿宋" w:eastAsia="仿宋"/>
          <w:b/>
          <w:sz w:val="32"/>
        </w:rPr>
        <w:t>“三公”经费：</w:t>
      </w:r>
      <w:r>
        <w:rPr>
          <w:rFonts w:hint="eastAsia" w:ascii="仿宋" w:hAnsi="仿宋" w:eastAsia="仿宋"/>
          <w:sz w:val="32"/>
        </w:rPr>
        <w:t>指省直部门用一般公共预算安排的因公出国（境）费、公务用车购置及运行费和公务接待费。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pPr>
        <w:autoSpaceDE w:val="0"/>
        <w:autoSpaceDN w:val="0"/>
        <w:adjustRightInd w:val="0"/>
        <w:ind w:firstLine="642" w:firstLineChars="200"/>
        <w:rPr>
          <w:rFonts w:ascii="仿宋_GB2312"/>
        </w:rPr>
      </w:pPr>
      <w:r>
        <w:rPr>
          <w:rFonts w:hint="eastAsia" w:ascii="仿宋" w:hAnsi="仿宋" w:eastAsia="仿宋"/>
          <w:b/>
          <w:sz w:val="32"/>
        </w:rPr>
        <w:t>机关运行经费：</w:t>
      </w:r>
      <w:r>
        <w:rPr>
          <w:rFonts w:hint="eastAsia" w:ascii="仿宋" w:hAnsi="仿宋" w:eastAsia="仿宋"/>
          <w:sz w:val="32"/>
        </w:rPr>
        <w:t>指行政单位和参照公务员法管理的事业单位使用一般公共预算安排的基本支出中的日常公用经费支出。</w:t>
      </w:r>
    </w:p>
    <w:p>
      <w:pPr>
        <w:ind w:firstLine="640" w:firstLineChars="200"/>
        <w:rPr>
          <w:rFonts w:ascii="宋体" w:hAnsi="宋体" w:cs="宋体"/>
          <w:sz w:val="32"/>
          <w:szCs w:val="32"/>
        </w:rPr>
      </w:pPr>
    </w:p>
    <w:p>
      <w:pPr>
        <w:ind w:firstLine="640" w:firstLineChars="200"/>
        <w:rPr>
          <w:rFonts w:ascii="宋体" w:cs="宋体"/>
          <w:sz w:val="32"/>
          <w:szCs w:val="32"/>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FD5668"/>
    <w:multiLevelType w:val="singleLevel"/>
    <w:tmpl w:val="3BFD566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mZTQ2MWE5MjkzZDA4MjIzNTU0NjE0ZjYxNTU3MDYifQ=="/>
  </w:docVars>
  <w:rsids>
    <w:rsidRoot w:val="48E87EB6"/>
    <w:rsid w:val="0001019D"/>
    <w:rsid w:val="0001526A"/>
    <w:rsid w:val="00015388"/>
    <w:rsid w:val="00095ABA"/>
    <w:rsid w:val="000C5D08"/>
    <w:rsid w:val="0011026C"/>
    <w:rsid w:val="00121209"/>
    <w:rsid w:val="00133406"/>
    <w:rsid w:val="00134A69"/>
    <w:rsid w:val="001572B1"/>
    <w:rsid w:val="001C0185"/>
    <w:rsid w:val="001C1F29"/>
    <w:rsid w:val="001C6D6E"/>
    <w:rsid w:val="001E0982"/>
    <w:rsid w:val="00234694"/>
    <w:rsid w:val="002A78F3"/>
    <w:rsid w:val="002E6391"/>
    <w:rsid w:val="003343CB"/>
    <w:rsid w:val="00342907"/>
    <w:rsid w:val="00356142"/>
    <w:rsid w:val="004641B5"/>
    <w:rsid w:val="00471C81"/>
    <w:rsid w:val="00481790"/>
    <w:rsid w:val="004A4A42"/>
    <w:rsid w:val="004D2F67"/>
    <w:rsid w:val="0053567B"/>
    <w:rsid w:val="00543803"/>
    <w:rsid w:val="005758D0"/>
    <w:rsid w:val="005A41BF"/>
    <w:rsid w:val="005C5682"/>
    <w:rsid w:val="005D6883"/>
    <w:rsid w:val="005E1B8D"/>
    <w:rsid w:val="005F199C"/>
    <w:rsid w:val="005F2480"/>
    <w:rsid w:val="00663897"/>
    <w:rsid w:val="00664E4B"/>
    <w:rsid w:val="00696E76"/>
    <w:rsid w:val="006C0DB4"/>
    <w:rsid w:val="00734A87"/>
    <w:rsid w:val="00751A1A"/>
    <w:rsid w:val="00760ADC"/>
    <w:rsid w:val="007A70B3"/>
    <w:rsid w:val="007E693B"/>
    <w:rsid w:val="00800BD1"/>
    <w:rsid w:val="00805F96"/>
    <w:rsid w:val="008524E1"/>
    <w:rsid w:val="00874BC6"/>
    <w:rsid w:val="008934C9"/>
    <w:rsid w:val="008D5CA9"/>
    <w:rsid w:val="008D7F93"/>
    <w:rsid w:val="00906723"/>
    <w:rsid w:val="009436C0"/>
    <w:rsid w:val="009600A2"/>
    <w:rsid w:val="009A7E7B"/>
    <w:rsid w:val="009B6471"/>
    <w:rsid w:val="009F066F"/>
    <w:rsid w:val="00A42F2A"/>
    <w:rsid w:val="00A61D97"/>
    <w:rsid w:val="00A72C12"/>
    <w:rsid w:val="00A95A9A"/>
    <w:rsid w:val="00B47C9B"/>
    <w:rsid w:val="00B557D1"/>
    <w:rsid w:val="00B57349"/>
    <w:rsid w:val="00B84096"/>
    <w:rsid w:val="00B97C67"/>
    <w:rsid w:val="00BA476A"/>
    <w:rsid w:val="00C52450"/>
    <w:rsid w:val="00C81464"/>
    <w:rsid w:val="00C91007"/>
    <w:rsid w:val="00C92BCC"/>
    <w:rsid w:val="00CA0D2B"/>
    <w:rsid w:val="00CC30DB"/>
    <w:rsid w:val="00CF14FA"/>
    <w:rsid w:val="00D25442"/>
    <w:rsid w:val="00D45F97"/>
    <w:rsid w:val="00D64D73"/>
    <w:rsid w:val="00DE30A3"/>
    <w:rsid w:val="00E454A5"/>
    <w:rsid w:val="00E73CB3"/>
    <w:rsid w:val="00E74F60"/>
    <w:rsid w:val="00E94F0A"/>
    <w:rsid w:val="00EE2AC8"/>
    <w:rsid w:val="00F01EE0"/>
    <w:rsid w:val="00F15093"/>
    <w:rsid w:val="00F63D19"/>
    <w:rsid w:val="00F843C4"/>
    <w:rsid w:val="01635C49"/>
    <w:rsid w:val="016F0A91"/>
    <w:rsid w:val="02EB239A"/>
    <w:rsid w:val="033A0C2B"/>
    <w:rsid w:val="03582B96"/>
    <w:rsid w:val="037F36C7"/>
    <w:rsid w:val="042C2C6A"/>
    <w:rsid w:val="04B844FD"/>
    <w:rsid w:val="05C0366A"/>
    <w:rsid w:val="07DE24CD"/>
    <w:rsid w:val="089D4136"/>
    <w:rsid w:val="095011A8"/>
    <w:rsid w:val="09842593"/>
    <w:rsid w:val="0A0C3321"/>
    <w:rsid w:val="0A232419"/>
    <w:rsid w:val="0B674587"/>
    <w:rsid w:val="0C087B18"/>
    <w:rsid w:val="0C5A5250"/>
    <w:rsid w:val="0D6C40D7"/>
    <w:rsid w:val="0D904269"/>
    <w:rsid w:val="0FA638D0"/>
    <w:rsid w:val="102B0279"/>
    <w:rsid w:val="10345380"/>
    <w:rsid w:val="10CD1E1D"/>
    <w:rsid w:val="114415F3"/>
    <w:rsid w:val="118D3328"/>
    <w:rsid w:val="11C97D4A"/>
    <w:rsid w:val="11DA2465"/>
    <w:rsid w:val="12483BB9"/>
    <w:rsid w:val="137D703E"/>
    <w:rsid w:val="1437543F"/>
    <w:rsid w:val="14537D9F"/>
    <w:rsid w:val="14983A03"/>
    <w:rsid w:val="15A00DC2"/>
    <w:rsid w:val="15AC7766"/>
    <w:rsid w:val="163C4DDE"/>
    <w:rsid w:val="176C3651"/>
    <w:rsid w:val="179761F4"/>
    <w:rsid w:val="185F6D12"/>
    <w:rsid w:val="19BB266E"/>
    <w:rsid w:val="1A0062D3"/>
    <w:rsid w:val="1A66082C"/>
    <w:rsid w:val="1A8567D8"/>
    <w:rsid w:val="1BF27E9D"/>
    <w:rsid w:val="1C177904"/>
    <w:rsid w:val="1C872CDB"/>
    <w:rsid w:val="1C9A2A0F"/>
    <w:rsid w:val="1CE04199"/>
    <w:rsid w:val="1E5C1C6B"/>
    <w:rsid w:val="1FC41B50"/>
    <w:rsid w:val="20B16579"/>
    <w:rsid w:val="20DB1848"/>
    <w:rsid w:val="2136082C"/>
    <w:rsid w:val="215533A8"/>
    <w:rsid w:val="22433200"/>
    <w:rsid w:val="22525B39"/>
    <w:rsid w:val="23DA5DE6"/>
    <w:rsid w:val="242E1C8E"/>
    <w:rsid w:val="24727DCD"/>
    <w:rsid w:val="25C94365"/>
    <w:rsid w:val="25F3318F"/>
    <w:rsid w:val="268A58A2"/>
    <w:rsid w:val="27BC27D7"/>
    <w:rsid w:val="27D03788"/>
    <w:rsid w:val="28726D71"/>
    <w:rsid w:val="28773C04"/>
    <w:rsid w:val="28942A08"/>
    <w:rsid w:val="28A349F9"/>
    <w:rsid w:val="28F9286B"/>
    <w:rsid w:val="29B35110"/>
    <w:rsid w:val="2A3A313B"/>
    <w:rsid w:val="2A68414C"/>
    <w:rsid w:val="2AD34027"/>
    <w:rsid w:val="2BE94E19"/>
    <w:rsid w:val="2C1F4CDE"/>
    <w:rsid w:val="2C536736"/>
    <w:rsid w:val="2CFF6A89"/>
    <w:rsid w:val="2D5B1D46"/>
    <w:rsid w:val="2DD815E9"/>
    <w:rsid w:val="2E56075F"/>
    <w:rsid w:val="2F754B98"/>
    <w:rsid w:val="2FDE6C5E"/>
    <w:rsid w:val="31D71BB7"/>
    <w:rsid w:val="320B3DF5"/>
    <w:rsid w:val="33BF2903"/>
    <w:rsid w:val="33D3107B"/>
    <w:rsid w:val="34394463"/>
    <w:rsid w:val="3491604D"/>
    <w:rsid w:val="350E58F0"/>
    <w:rsid w:val="35B51550"/>
    <w:rsid w:val="36A06A1C"/>
    <w:rsid w:val="3BAF716B"/>
    <w:rsid w:val="3CAD59EE"/>
    <w:rsid w:val="3CCD7D72"/>
    <w:rsid w:val="3CF74EBC"/>
    <w:rsid w:val="3D5B544A"/>
    <w:rsid w:val="3E0E4BB3"/>
    <w:rsid w:val="3EB47508"/>
    <w:rsid w:val="3F1E0E25"/>
    <w:rsid w:val="3FC27EA8"/>
    <w:rsid w:val="404448BC"/>
    <w:rsid w:val="40866EAC"/>
    <w:rsid w:val="417B60BB"/>
    <w:rsid w:val="41C26326"/>
    <w:rsid w:val="436D5ED7"/>
    <w:rsid w:val="43CC3903"/>
    <w:rsid w:val="443D1D4E"/>
    <w:rsid w:val="44B32010"/>
    <w:rsid w:val="45176598"/>
    <w:rsid w:val="459E05CA"/>
    <w:rsid w:val="4654512D"/>
    <w:rsid w:val="46957C1F"/>
    <w:rsid w:val="46C16C66"/>
    <w:rsid w:val="46ED1809"/>
    <w:rsid w:val="46F661E4"/>
    <w:rsid w:val="4797584F"/>
    <w:rsid w:val="47CD5197"/>
    <w:rsid w:val="489A63C4"/>
    <w:rsid w:val="48E87EB6"/>
    <w:rsid w:val="4955408F"/>
    <w:rsid w:val="4A7B537E"/>
    <w:rsid w:val="4AA541A9"/>
    <w:rsid w:val="4AB83EDC"/>
    <w:rsid w:val="4BB943B0"/>
    <w:rsid w:val="4CF22C41"/>
    <w:rsid w:val="4E047438"/>
    <w:rsid w:val="4ED82D9F"/>
    <w:rsid w:val="4F9B5B7A"/>
    <w:rsid w:val="50463D38"/>
    <w:rsid w:val="50C07F8E"/>
    <w:rsid w:val="515B1A65"/>
    <w:rsid w:val="523522B6"/>
    <w:rsid w:val="528648C0"/>
    <w:rsid w:val="536B5D13"/>
    <w:rsid w:val="53EE096F"/>
    <w:rsid w:val="545F186C"/>
    <w:rsid w:val="57EA58F1"/>
    <w:rsid w:val="589046EA"/>
    <w:rsid w:val="5943350B"/>
    <w:rsid w:val="5B524ABC"/>
    <w:rsid w:val="5B555A68"/>
    <w:rsid w:val="5C6043D4"/>
    <w:rsid w:val="5CE24DE9"/>
    <w:rsid w:val="5CE55301"/>
    <w:rsid w:val="5CE70651"/>
    <w:rsid w:val="5CE768A3"/>
    <w:rsid w:val="5E033269"/>
    <w:rsid w:val="5EB10F16"/>
    <w:rsid w:val="5FCB425A"/>
    <w:rsid w:val="61060992"/>
    <w:rsid w:val="61135EB8"/>
    <w:rsid w:val="612260FC"/>
    <w:rsid w:val="612C0D28"/>
    <w:rsid w:val="61691F7C"/>
    <w:rsid w:val="61BC3E5A"/>
    <w:rsid w:val="61DA69D6"/>
    <w:rsid w:val="61F75025"/>
    <w:rsid w:val="623460E6"/>
    <w:rsid w:val="62FD43A6"/>
    <w:rsid w:val="63A64DC2"/>
    <w:rsid w:val="63CB65D6"/>
    <w:rsid w:val="6429154F"/>
    <w:rsid w:val="64326656"/>
    <w:rsid w:val="6692162D"/>
    <w:rsid w:val="66E64E7C"/>
    <w:rsid w:val="679F4002"/>
    <w:rsid w:val="67A23AF2"/>
    <w:rsid w:val="687B3FD1"/>
    <w:rsid w:val="69456E2B"/>
    <w:rsid w:val="696372B1"/>
    <w:rsid w:val="69B0699A"/>
    <w:rsid w:val="6A5F216E"/>
    <w:rsid w:val="6A8A4C1B"/>
    <w:rsid w:val="6C8A3532"/>
    <w:rsid w:val="6D2D3E5E"/>
    <w:rsid w:val="6DC742B3"/>
    <w:rsid w:val="6E7004A6"/>
    <w:rsid w:val="6E743803"/>
    <w:rsid w:val="6F55769C"/>
    <w:rsid w:val="700C41FF"/>
    <w:rsid w:val="71822E6D"/>
    <w:rsid w:val="72A14009"/>
    <w:rsid w:val="72B666A4"/>
    <w:rsid w:val="742C30C1"/>
    <w:rsid w:val="748A502D"/>
    <w:rsid w:val="760F4A49"/>
    <w:rsid w:val="762304F4"/>
    <w:rsid w:val="78056103"/>
    <w:rsid w:val="78EE4DE9"/>
    <w:rsid w:val="79A25BD4"/>
    <w:rsid w:val="79F857F4"/>
    <w:rsid w:val="7B205002"/>
    <w:rsid w:val="7BB37673"/>
    <w:rsid w:val="7C0823C1"/>
    <w:rsid w:val="7C72188D"/>
    <w:rsid w:val="7D162B61"/>
    <w:rsid w:val="7EDE320A"/>
    <w:rsid w:val="7EF26CB5"/>
    <w:rsid w:val="F7FF83D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100" w:beforeAutospacing="1" w:after="100" w:afterAutospacing="1"/>
      <w:jc w:val="left"/>
    </w:pPr>
    <w:rPr>
      <w:kern w:val="0"/>
      <w:sz w:val="24"/>
      <w:szCs w:val="20"/>
    </w:rPr>
  </w:style>
  <w:style w:type="character" w:styleId="8">
    <w:name w:val="Strong"/>
    <w:basedOn w:val="7"/>
    <w:qFormat/>
    <w:uiPriority w:val="99"/>
    <w:rPr>
      <w:rFonts w:cs="Times New Roman"/>
      <w:b/>
    </w:rPr>
  </w:style>
  <w:style w:type="character" w:customStyle="1" w:styleId="9">
    <w:name w:val="页眉 Char"/>
    <w:basedOn w:val="7"/>
    <w:link w:val="4"/>
    <w:qFormat/>
    <w:locked/>
    <w:uiPriority w:val="99"/>
    <w:rPr>
      <w:rFonts w:ascii="Calibri" w:hAnsi="Calibri" w:eastAsia="宋体" w:cs="Times New Roman"/>
      <w:kern w:val="2"/>
      <w:sz w:val="18"/>
      <w:szCs w:val="18"/>
    </w:rPr>
  </w:style>
  <w:style w:type="character" w:customStyle="1" w:styleId="10">
    <w:name w:val="页脚 Char"/>
    <w:basedOn w:val="7"/>
    <w:link w:val="3"/>
    <w:qFormat/>
    <w:locked/>
    <w:uiPriority w:val="99"/>
    <w:rPr>
      <w:rFonts w:ascii="Calibri" w:hAnsi="Calibri" w:eastAsia="宋体" w:cs="Times New Roman"/>
      <w:kern w:val="2"/>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739</Words>
  <Characters>4218</Characters>
  <Lines>35</Lines>
  <Paragraphs>9</Paragraphs>
  <TotalTime>58</TotalTime>
  <ScaleCrop>false</ScaleCrop>
  <LinksUpToDate>false</LinksUpToDate>
  <CharactersWithSpaces>4948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2022-07-21T09:40:00Z</dcterms:created>
  <dc:creator>亚亚</dc:creator>
  <cp:lastModifiedBy>zzzx</cp:lastModifiedBy>
  <cp:lastPrinted>2023-07-21T10:38:00Z</cp:lastPrinted>
  <dcterms:modified xsi:type="dcterms:W3CDTF">2023-07-27T11:34:46Z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6F65A34874C642D78EFA85B64D93295C_12</vt:lpwstr>
  </property>
</Properties>
</file>